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357688" cy="747232"/>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357688" cy="74723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jc w:val="left"/>
        <w:rPr>
          <w:rFonts w:ascii="Trebuchet MS" w:cs="Trebuchet MS" w:eastAsia="Trebuchet MS" w:hAnsi="Trebuchet MS"/>
          <w:b w:val="1"/>
          <w:color w:val="1d1d1d"/>
          <w:sz w:val="28"/>
          <w:szCs w:val="28"/>
          <w:highlight w:val="white"/>
        </w:rPr>
      </w:pPr>
      <w:r w:rsidDel="00000000" w:rsidR="00000000" w:rsidRPr="00000000">
        <w:rPr>
          <w:rtl w:val="0"/>
        </w:rPr>
      </w:r>
    </w:p>
    <w:p w:rsidR="00000000" w:rsidDel="00000000" w:rsidP="00000000" w:rsidRDefault="00000000" w:rsidRPr="00000000" w14:paraId="00000003">
      <w:pPr>
        <w:ind w:left="0" w:firstLine="0"/>
        <w:jc w:val="left"/>
        <w:rPr>
          <w:rFonts w:ascii="Lato Black" w:cs="Lato Black" w:eastAsia="Lato Black" w:hAnsi="Lato Black"/>
          <w:color w:val="03123d"/>
          <w:sz w:val="36"/>
          <w:szCs w:val="36"/>
        </w:rPr>
      </w:pPr>
      <w:r w:rsidDel="00000000" w:rsidR="00000000" w:rsidRPr="00000000">
        <w:rPr>
          <w:rFonts w:ascii="Trebuchet MS" w:cs="Trebuchet MS" w:eastAsia="Trebuchet MS" w:hAnsi="Trebuchet MS"/>
          <w:b w:val="1"/>
          <w:color w:val="1d1d1d"/>
          <w:sz w:val="28"/>
          <w:szCs w:val="28"/>
          <w:highlight w:val="white"/>
          <w:rtl w:val="0"/>
        </w:rPr>
        <w:t xml:space="preserve">   </w:t>
        <w:tab/>
        <w:tab/>
        <w:tab/>
        <w:tab/>
        <w:t xml:space="preserve">     </w:t>
      </w:r>
      <w:r w:rsidDel="00000000" w:rsidR="00000000" w:rsidRPr="00000000">
        <w:rPr>
          <w:rFonts w:ascii="Lato Black" w:cs="Lato Black" w:eastAsia="Lato Black" w:hAnsi="Lato Black"/>
          <w:color w:val="03123d"/>
          <w:sz w:val="36"/>
          <w:szCs w:val="36"/>
          <w:rtl w:val="0"/>
        </w:rPr>
        <w:t xml:space="preserve">Citi Fact Sheet</w:t>
      </w:r>
    </w:p>
    <w:p w:rsidR="00000000" w:rsidDel="00000000" w:rsidP="00000000" w:rsidRDefault="00000000" w:rsidRPr="00000000" w14:paraId="00000004">
      <w:pPr>
        <w:ind w:left="540" w:firstLine="0"/>
        <w:jc w:val="center"/>
        <w:rPr>
          <w:rFonts w:ascii="Trebuchet MS" w:cs="Trebuchet MS" w:eastAsia="Trebuchet MS" w:hAnsi="Trebuchet MS"/>
          <w:b w:val="1"/>
          <w:color w:val="1d1d1d"/>
          <w:sz w:val="28"/>
          <w:szCs w:val="28"/>
          <w:highlight w:val="white"/>
        </w:rPr>
      </w:pP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color w:val="1d1d1d"/>
          <w:sz w:val="18"/>
          <w:szCs w:val="18"/>
          <w:highlight w:val="white"/>
        </w:rPr>
      </w:pPr>
      <w:r w:rsidDel="00000000" w:rsidR="00000000" w:rsidRPr="00000000">
        <w:rPr>
          <w:rtl w:val="0"/>
        </w:rPr>
      </w:r>
    </w:p>
    <w:p w:rsidR="00000000" w:rsidDel="00000000" w:rsidP="00000000" w:rsidRDefault="00000000" w:rsidRPr="00000000" w14:paraId="00000006">
      <w:pPr>
        <w:widowControl w:val="0"/>
        <w:spacing w:line="240" w:lineRule="auto"/>
        <w:rPr>
          <w:rFonts w:ascii="Roboto" w:cs="Roboto" w:eastAsia="Roboto" w:hAnsi="Roboto"/>
          <w:b w:val="1"/>
          <w:color w:val="1d1d1d"/>
          <w:sz w:val="28"/>
          <w:szCs w:val="28"/>
          <w:highlight w:val="white"/>
        </w:rPr>
      </w:pPr>
      <w:r w:rsidDel="00000000" w:rsidR="00000000" w:rsidRPr="00000000">
        <w:rPr>
          <w:rFonts w:ascii="Roboto" w:cs="Roboto" w:eastAsia="Roboto" w:hAnsi="Roboto"/>
          <w:b w:val="1"/>
          <w:color w:val="262626"/>
          <w:sz w:val="28"/>
          <w:szCs w:val="28"/>
          <w:u w:val="single"/>
          <w:rtl w:val="0"/>
        </w:rPr>
        <w:t xml:space="preserve">Quick Facts &amp; Talking Points</w:t>
      </w:r>
      <w:r w:rsidDel="00000000" w:rsidR="00000000" w:rsidRPr="00000000">
        <w:rPr>
          <w:rtl w:val="0"/>
        </w:rPr>
      </w:r>
    </w:p>
    <w:p w:rsidR="00000000" w:rsidDel="00000000" w:rsidP="00000000" w:rsidRDefault="00000000" w:rsidRPr="00000000" w14:paraId="00000007">
      <w:pPr>
        <w:spacing w:line="240" w:lineRule="auto"/>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Citi is #3 on the Dirty Dozen list</w:t>
      </w:r>
      <w:r w:rsidDel="00000000" w:rsidR="00000000" w:rsidRPr="00000000">
        <w:rPr>
          <w:rFonts w:ascii="Roboto" w:cs="Roboto" w:eastAsia="Roboto" w:hAnsi="Roboto"/>
          <w:i w:val="1"/>
          <w:color w:val="1d1d1d"/>
          <w:sz w:val="20"/>
          <w:szCs w:val="20"/>
          <w:highlight w:val="white"/>
          <w:vertAlign w:val="superscript"/>
        </w:rPr>
        <w:footnoteReference w:customMarkFollows="0" w:id="0"/>
      </w:r>
      <w:r w:rsidDel="00000000" w:rsidR="00000000" w:rsidRPr="00000000">
        <w:rPr>
          <w:rFonts w:ascii="Roboto" w:cs="Roboto" w:eastAsia="Roboto" w:hAnsi="Roboto"/>
          <w:i w:val="1"/>
          <w:color w:val="1d1d1d"/>
          <w:sz w:val="20"/>
          <w:szCs w:val="20"/>
          <w:highlight w:val="white"/>
          <w:rtl w:val="0"/>
        </w:rPr>
        <w:t xml:space="preserve"> </w:t>
      </w:r>
    </w:p>
    <w:p w:rsidR="00000000" w:rsidDel="00000000" w:rsidP="00000000" w:rsidRDefault="00000000" w:rsidRPr="00000000" w14:paraId="00000009">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0A">
      <w:pPr>
        <w:numPr>
          <w:ilvl w:val="0"/>
          <w:numId w:val="8"/>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Assets 2019</w:t>
      </w:r>
      <w:r w:rsidDel="00000000" w:rsidR="00000000" w:rsidRPr="00000000">
        <w:rPr>
          <w:rtl w:val="0"/>
        </w:rPr>
      </w:r>
    </w:p>
    <w:p w:rsidR="00000000" w:rsidDel="00000000" w:rsidP="00000000" w:rsidRDefault="00000000" w:rsidRPr="00000000" w14:paraId="0000000B">
      <w:pPr>
        <w:numPr>
          <w:ilvl w:val="1"/>
          <w:numId w:val="8"/>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$1.9 trillion </w:t>
      </w:r>
    </w:p>
    <w:p w:rsidR="00000000" w:rsidDel="00000000" w:rsidP="00000000" w:rsidRDefault="00000000" w:rsidRPr="00000000" w14:paraId="0000000C">
      <w:pPr>
        <w:spacing w:line="240" w:lineRule="auto"/>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0D">
      <w:pPr>
        <w:numPr>
          <w:ilvl w:val="0"/>
          <w:numId w:val="10"/>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Fossil Fuel Financing in 2019</w:t>
      </w:r>
      <w:r w:rsidDel="00000000" w:rsidR="00000000" w:rsidRPr="00000000">
        <w:rPr>
          <w:rtl w:val="0"/>
        </w:rPr>
      </w:r>
    </w:p>
    <w:p w:rsidR="00000000" w:rsidDel="00000000" w:rsidP="00000000" w:rsidRDefault="00000000" w:rsidRPr="00000000" w14:paraId="0000000E">
      <w:pPr>
        <w:numPr>
          <w:ilvl w:val="1"/>
          <w:numId w:val="10"/>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$52.4 billion </w:t>
      </w:r>
    </w:p>
    <w:p w:rsidR="00000000" w:rsidDel="00000000" w:rsidP="00000000" w:rsidRDefault="00000000" w:rsidRPr="00000000" w14:paraId="0000000F">
      <w:pPr>
        <w:spacing w:line="240" w:lineRule="auto"/>
        <w:ind w:left="108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10">
      <w:pPr>
        <w:numPr>
          <w:ilvl w:val="0"/>
          <w:numId w:val="11"/>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Fossil Fuel Financing Between 2016-2019</w:t>
      </w:r>
      <w:r w:rsidDel="00000000" w:rsidR="00000000" w:rsidRPr="00000000">
        <w:rPr>
          <w:rtl w:val="0"/>
        </w:rPr>
      </w:r>
    </w:p>
    <w:p w:rsidR="00000000" w:rsidDel="00000000" w:rsidP="00000000" w:rsidRDefault="00000000" w:rsidRPr="00000000" w14:paraId="00000011">
      <w:pPr>
        <w:numPr>
          <w:ilvl w:val="1"/>
          <w:numId w:val="11"/>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$188 billion </w:t>
      </w:r>
    </w:p>
    <w:p w:rsidR="00000000" w:rsidDel="00000000" w:rsidP="00000000" w:rsidRDefault="00000000" w:rsidRPr="00000000" w14:paraId="00000012">
      <w:pPr>
        <w:spacing w:line="240" w:lineRule="auto"/>
        <w:ind w:left="1440" w:firstLine="0"/>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13">
      <w:pPr>
        <w:widowControl w:val="0"/>
        <w:spacing w:line="240" w:lineRule="auto"/>
        <w:rPr>
          <w:rFonts w:ascii="Roboto" w:cs="Roboto" w:eastAsia="Roboto" w:hAnsi="Roboto"/>
          <w:b w:val="1"/>
          <w:i w:val="1"/>
          <w:color w:val="262626"/>
        </w:rPr>
      </w:pPr>
      <w:r w:rsidDel="00000000" w:rsidR="00000000" w:rsidRPr="00000000">
        <w:rPr>
          <w:rFonts w:ascii="Roboto" w:cs="Roboto" w:eastAsia="Roboto" w:hAnsi="Roboto"/>
          <w:b w:val="1"/>
          <w:i w:val="1"/>
          <w:color w:val="262626"/>
          <w:rtl w:val="0"/>
        </w:rPr>
        <w:t xml:space="preserve">Between 2016-2019 Citi financed:</w:t>
      </w:r>
    </w:p>
    <w:tbl>
      <w:tblPr>
        <w:tblStyle w:val="Table1"/>
        <w:tblW w:w="751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2760"/>
        <w:gridCol w:w="2715"/>
        <w:tblGridChange w:id="0">
          <w:tblGrid>
            <w:gridCol w:w="2040"/>
            <w:gridCol w:w="2760"/>
            <w:gridCol w:w="2715"/>
          </w:tblGrid>
        </w:tblGridChange>
      </w:tblGrid>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Financing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Fossil Fuel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rFonts w:ascii="Roboto" w:cs="Roboto" w:eastAsia="Roboto" w:hAnsi="Roboto"/>
                <w:b w:val="1"/>
                <w:i w:val="1"/>
                <w:color w:val="262626"/>
                <w:sz w:val="20"/>
                <w:szCs w:val="20"/>
              </w:rPr>
            </w:pPr>
            <w:r w:rsidDel="00000000" w:rsidR="00000000" w:rsidRPr="00000000">
              <w:rPr>
                <w:rFonts w:ascii="Roboto" w:cs="Roboto" w:eastAsia="Roboto" w:hAnsi="Roboto"/>
                <w:b w:val="1"/>
                <w:i w:val="1"/>
                <w:color w:val="262626"/>
                <w:sz w:val="20"/>
                <w:szCs w:val="20"/>
                <w:rtl w:val="0"/>
              </w:rPr>
              <w:t xml:space="preserve">Rank out of Top 35 Fossil Fuel Financiers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$71.68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Fossil Fuel  Expansion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2nd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$2.7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Tar Sands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8th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$1.4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Arctic oil &amp; gas drilling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2nd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$18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Offshore oil &amp; gas drilling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2nd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$27.9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Fracked oil &amp; gas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4th </w:t>
            </w:r>
          </w:p>
        </w:tc>
      </w:tr>
      <w:tr>
        <w:trPr>
          <w:trHeight w:val="4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$4.7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Liquefied Natural Gas (LNG)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5th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$1.4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Coal Mining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8th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$6.7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Coal Power Stations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Roboto" w:cs="Roboto" w:eastAsia="Roboto" w:hAnsi="Roboto"/>
                <w:i w:val="1"/>
                <w:color w:val="262626"/>
                <w:sz w:val="20"/>
                <w:szCs w:val="20"/>
              </w:rPr>
            </w:pPr>
            <w:r w:rsidDel="00000000" w:rsidR="00000000" w:rsidRPr="00000000">
              <w:rPr>
                <w:rFonts w:ascii="Roboto" w:cs="Roboto" w:eastAsia="Roboto" w:hAnsi="Roboto"/>
                <w:i w:val="1"/>
                <w:color w:val="262626"/>
                <w:sz w:val="20"/>
                <w:szCs w:val="20"/>
                <w:rtl w:val="0"/>
              </w:rPr>
              <w:t xml:space="preserve">5th </w:t>
            </w:r>
          </w:p>
        </w:tc>
      </w:tr>
    </w:tbl>
    <w:p w:rsidR="00000000" w:rsidDel="00000000" w:rsidP="00000000" w:rsidRDefault="00000000" w:rsidRPr="00000000" w14:paraId="0000002F">
      <w:pPr>
        <w:widowControl w:val="0"/>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0">
      <w:pPr>
        <w:numPr>
          <w:ilvl w:val="0"/>
          <w:numId w:val="2"/>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Total Annualized Sustainable Finance Commitments</w:t>
      </w:r>
      <w:r w:rsidDel="00000000" w:rsidR="00000000" w:rsidRPr="00000000">
        <w:rPr>
          <w:rtl w:val="0"/>
        </w:rPr>
      </w:r>
    </w:p>
    <w:p w:rsidR="00000000" w:rsidDel="00000000" w:rsidP="00000000" w:rsidRDefault="00000000" w:rsidRPr="00000000" w14:paraId="00000031">
      <w:pPr>
        <w:numPr>
          <w:ilvl w:val="1"/>
          <w:numId w:val="2"/>
        </w:numPr>
        <w:spacing w:line="240" w:lineRule="auto"/>
        <w:ind w:left="1440" w:hanging="360"/>
        <w:rPr>
          <w:rFonts w:ascii="Roboto" w:cs="Roboto" w:eastAsia="Roboto" w:hAnsi="Roboto"/>
          <w:i w:val="1"/>
          <w:color w:val="1d1d1d"/>
          <w:sz w:val="20"/>
          <w:szCs w:val="20"/>
          <w:highlight w:val="white"/>
        </w:rPr>
      </w:pPr>
      <w:r w:rsidDel="00000000" w:rsidR="00000000" w:rsidRPr="00000000">
        <w:rPr>
          <w:rFonts w:ascii="Roboto" w:cs="Roboto" w:eastAsia="Roboto" w:hAnsi="Roboto"/>
          <w:i w:val="1"/>
          <w:color w:val="1d1d1d"/>
          <w:sz w:val="20"/>
          <w:szCs w:val="20"/>
          <w:highlight w:val="white"/>
          <w:rtl w:val="0"/>
        </w:rPr>
        <w:t xml:space="preserve"> $10 billion </w:t>
      </w:r>
    </w:p>
    <w:p w:rsidR="00000000" w:rsidDel="00000000" w:rsidP="00000000" w:rsidRDefault="00000000" w:rsidRPr="00000000" w14:paraId="00000032">
      <w:pPr>
        <w:spacing w:line="240" w:lineRule="auto"/>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33">
      <w:pPr>
        <w:spacing w:line="240" w:lineRule="auto"/>
        <w:ind w:left="720" w:firstLine="0"/>
        <w:rPr>
          <w:rFonts w:ascii="Roboto" w:cs="Roboto" w:eastAsia="Roboto" w:hAnsi="Roboto"/>
          <w:i w:val="1"/>
          <w:color w:val="1d1d1d"/>
          <w:sz w:val="20"/>
          <w:szCs w:val="20"/>
          <w:highlight w:val="white"/>
        </w:rPr>
      </w:pPr>
      <w:r w:rsidDel="00000000" w:rsidR="00000000" w:rsidRPr="00000000">
        <w:rPr>
          <w:rtl w:val="0"/>
        </w:rPr>
      </w:r>
    </w:p>
    <w:p w:rsidR="00000000" w:rsidDel="00000000" w:rsidP="00000000" w:rsidRDefault="00000000" w:rsidRPr="00000000" w14:paraId="00000034">
      <w:pPr>
        <w:spacing w:line="240" w:lineRule="auto"/>
        <w:rPr>
          <w:rFonts w:ascii="Roboto" w:cs="Roboto" w:eastAsia="Roboto" w:hAnsi="Roboto"/>
          <w:b w:val="1"/>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Leadership </w:t>
      </w:r>
    </w:p>
    <w:p w:rsidR="00000000" w:rsidDel="00000000" w:rsidP="00000000" w:rsidRDefault="00000000" w:rsidRPr="00000000" w14:paraId="00000035">
      <w:pPr>
        <w:spacing w:line="240" w:lineRule="auto"/>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6">
      <w:pPr>
        <w:numPr>
          <w:ilvl w:val="0"/>
          <w:numId w:val="4"/>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Citi has named Jane Fraser as its new chief executive officer. She is set to become the first woman ever to lead a mega Wall Street bank, succeeding Michael Corbat when he retires in February 2021 following eight years at the helm of the firm. Fraser has worked at the bank for 16 years and currently serves as the president, leading the global consumer banking side of the business.</w:t>
      </w:r>
    </w:p>
    <w:p w:rsidR="00000000" w:rsidDel="00000000" w:rsidP="00000000" w:rsidRDefault="00000000" w:rsidRPr="00000000" w14:paraId="00000037">
      <w:pPr>
        <w:spacing w:line="240" w:lineRule="auto"/>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8">
      <w:pPr>
        <w:numPr>
          <w:ilvl w:val="0"/>
          <w:numId w:val="4"/>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Under the leadership of CEO Michael Corbat, Citi was the first US bank to sign on to UN Principles for Responsible Banking and signed the Business Roundtable's Statement on the Purpose of a Corporation.</w:t>
      </w:r>
    </w:p>
    <w:p w:rsidR="00000000" w:rsidDel="00000000" w:rsidP="00000000" w:rsidRDefault="00000000" w:rsidRPr="00000000" w14:paraId="00000039">
      <w:pPr>
        <w:spacing w:line="240" w:lineRule="auto"/>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A">
      <w:pPr>
        <w:spacing w:line="240" w:lineRule="auto"/>
        <w:ind w:left="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B">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3C">
      <w:pPr>
        <w:rPr>
          <w:rFonts w:ascii="Roboto" w:cs="Roboto" w:eastAsia="Roboto" w:hAnsi="Roboto"/>
          <w:b w:val="1"/>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Major Fossil Fuel Industry Commitments </w:t>
      </w:r>
    </w:p>
    <w:p w:rsidR="00000000" w:rsidDel="00000000" w:rsidP="00000000" w:rsidRDefault="00000000" w:rsidRPr="00000000" w14:paraId="0000003D">
      <w:pPr>
        <w:spacing w:line="240" w:lineRule="auto"/>
        <w:rPr>
          <w:rFonts w:ascii="Roboto" w:cs="Roboto" w:eastAsia="Roboto" w:hAnsi="Roboto"/>
          <w:color w:val="1d1d1d"/>
          <w:sz w:val="18"/>
          <w:szCs w:val="18"/>
          <w:highlight w:val="white"/>
        </w:rPr>
      </w:pPr>
      <w:r w:rsidDel="00000000" w:rsidR="00000000" w:rsidRPr="00000000">
        <w:rPr>
          <w:rtl w:val="0"/>
        </w:rPr>
      </w:r>
    </w:p>
    <w:p w:rsidR="00000000" w:rsidDel="00000000" w:rsidP="00000000" w:rsidRDefault="00000000" w:rsidRPr="00000000" w14:paraId="0000003E">
      <w:pPr>
        <w:numPr>
          <w:ilvl w:val="0"/>
          <w:numId w:val="6"/>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Citi is the #1 North American funder of coal power.</w:t>
      </w:r>
      <w:r w:rsidDel="00000000" w:rsidR="00000000" w:rsidRPr="00000000">
        <w:rPr>
          <w:rtl w:val="0"/>
        </w:rPr>
      </w:r>
    </w:p>
    <w:p w:rsidR="00000000" w:rsidDel="00000000" w:rsidP="00000000" w:rsidRDefault="00000000" w:rsidRPr="00000000" w14:paraId="0000003F">
      <w:pPr>
        <w:spacing w:line="240" w:lineRule="auto"/>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40">
      <w:pPr>
        <w:numPr>
          <w:ilvl w:val="0"/>
          <w:numId w:val="6"/>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Citi is #2 in the world in financing for oil, gas, and coal companies expanding fossil fuels. </w:t>
      </w:r>
      <w:r w:rsidDel="00000000" w:rsidR="00000000" w:rsidRPr="00000000">
        <w:rPr>
          <w:rtl w:val="0"/>
        </w:rPr>
      </w:r>
    </w:p>
    <w:p w:rsidR="00000000" w:rsidDel="00000000" w:rsidP="00000000" w:rsidRDefault="00000000" w:rsidRPr="00000000" w14:paraId="00000041">
      <w:pPr>
        <w:spacing w:line="240" w:lineRule="auto"/>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42">
      <w:pPr>
        <w:numPr>
          <w:ilvl w:val="0"/>
          <w:numId w:val="6"/>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Citi is #2 in the world for funding offshore oil &amp; gas and Arctic oil &amp; gas. </w:t>
      </w:r>
      <w:r w:rsidDel="00000000" w:rsidR="00000000" w:rsidRPr="00000000">
        <w:rPr>
          <w:rtl w:val="0"/>
        </w:rPr>
      </w:r>
    </w:p>
    <w:p w:rsidR="00000000" w:rsidDel="00000000" w:rsidP="00000000" w:rsidRDefault="00000000" w:rsidRPr="00000000" w14:paraId="00000043">
      <w:pPr>
        <w:spacing w:line="240" w:lineRule="auto"/>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44">
      <w:pPr>
        <w:numPr>
          <w:ilvl w:val="0"/>
          <w:numId w:val="9"/>
        </w:numPr>
        <w:spacing w:line="240" w:lineRule="auto"/>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On April 2, 2020, Citi, along with JPMorgan Chase, led the underwriting of a USD $1.25 billion bond issuance for TC Energy, the company moving forward with the controversial Keystone XL tar sands oil pipeline. NASA scientist James Hansen explained that draining those tar sands deposits would be “game over” for the climate system. </w:t>
      </w:r>
    </w:p>
    <w:p w:rsidR="00000000" w:rsidDel="00000000" w:rsidP="00000000" w:rsidRDefault="00000000" w:rsidRPr="00000000" w14:paraId="00000045">
      <w:pPr>
        <w:spacing w:line="240" w:lineRule="auto"/>
        <w:ind w:left="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46">
      <w:pPr>
        <w:spacing w:line="240" w:lineRule="auto"/>
        <w:ind w:left="0" w:firstLine="0"/>
        <w:rPr>
          <w:rFonts w:ascii="Roboto" w:cs="Roboto" w:eastAsia="Roboto" w:hAnsi="Roboto"/>
          <w:b w:val="1"/>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Fossil Fuel Policies Score</w:t>
      </w:r>
    </w:p>
    <w:p w:rsidR="00000000" w:rsidDel="00000000" w:rsidP="00000000" w:rsidRDefault="00000000" w:rsidRPr="00000000" w14:paraId="00000047">
      <w:pPr>
        <w:spacing w:line="240" w:lineRule="auto"/>
        <w:ind w:left="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48">
      <w:pPr>
        <w:spacing w:line="240" w:lineRule="auto"/>
        <w:ind w:left="0" w:firstLine="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Rainforest Action Network (RAN) designates policy scores based on a point system that assesses bank policies on ending financing for fossil fuel expansion and phasing out overall fossil fuel financing. </w:t>
      </w:r>
      <w:r w:rsidDel="00000000" w:rsidR="00000000" w:rsidRPr="00000000">
        <w:rPr>
          <w:rFonts w:ascii="Roboto" w:cs="Roboto" w:eastAsia="Roboto" w:hAnsi="Roboto"/>
          <w:color w:val="1d1d1d"/>
          <w:sz w:val="20"/>
          <w:szCs w:val="20"/>
          <w:highlight w:val="white"/>
          <w:rtl w:val="0"/>
        </w:rPr>
        <w:t xml:space="preserve">Citi received only 22 out of 200 possible points</w:t>
      </w:r>
      <w:r w:rsidDel="00000000" w:rsidR="00000000" w:rsidRPr="00000000">
        <w:rPr>
          <w:rFonts w:ascii="Roboto" w:cs="Roboto" w:eastAsia="Roboto" w:hAnsi="Roboto"/>
          <w:color w:val="1d1d1d"/>
          <w:sz w:val="20"/>
          <w:szCs w:val="20"/>
          <w:highlight w:val="white"/>
          <w:rtl w:val="0"/>
        </w:rPr>
        <w:t xml:space="preserve">, demonstrating a very low score. For more detail into the scoring criteria, including for each fossil fuel subsector, visit the </w:t>
      </w:r>
      <w:hyperlink r:id="rId9">
        <w:r w:rsidDel="00000000" w:rsidR="00000000" w:rsidRPr="00000000">
          <w:rPr>
            <w:rFonts w:ascii="Roboto" w:cs="Roboto" w:eastAsia="Roboto" w:hAnsi="Roboto"/>
            <w:color w:val="1155cc"/>
            <w:sz w:val="20"/>
            <w:szCs w:val="20"/>
            <w:highlight w:val="white"/>
            <w:u w:val="single"/>
            <w:rtl w:val="0"/>
          </w:rPr>
          <w:t xml:space="preserve">Banking on Climate Change 2020 report</w:t>
        </w:r>
      </w:hyperlink>
      <w:r w:rsidDel="00000000" w:rsidR="00000000" w:rsidRPr="00000000">
        <w:rPr>
          <w:rFonts w:ascii="Roboto" w:cs="Roboto" w:eastAsia="Roboto" w:hAnsi="Roboto"/>
          <w:color w:val="1d1d1d"/>
          <w:sz w:val="20"/>
          <w:szCs w:val="20"/>
          <w:highlight w:val="white"/>
          <w:rtl w:val="0"/>
        </w:rPr>
        <w:t xml:space="preserve"> appendix as well as this </w:t>
      </w:r>
      <w:hyperlink r:id="rId10">
        <w:r w:rsidDel="00000000" w:rsidR="00000000" w:rsidRPr="00000000">
          <w:rPr>
            <w:rFonts w:ascii="Roboto" w:cs="Roboto" w:eastAsia="Roboto" w:hAnsi="Roboto"/>
            <w:color w:val="1155cc"/>
            <w:sz w:val="20"/>
            <w:szCs w:val="20"/>
            <w:highlight w:val="white"/>
            <w:u w:val="single"/>
            <w:rtl w:val="0"/>
          </w:rPr>
          <w:t xml:space="preserve">RAN press release</w:t>
        </w:r>
      </w:hyperlink>
      <w:r w:rsidDel="00000000" w:rsidR="00000000" w:rsidRPr="00000000">
        <w:rPr>
          <w:rFonts w:ascii="Roboto" w:cs="Roboto" w:eastAsia="Roboto" w:hAnsi="Roboto"/>
          <w:color w:val="1d1d1d"/>
          <w:sz w:val="20"/>
          <w:szCs w:val="20"/>
          <w:highlight w:val="white"/>
          <w:rtl w:val="0"/>
        </w:rPr>
        <w:t xml:space="preserve">. See below a fossil fuel policy score comparison of the major private US banks. </w:t>
      </w:r>
    </w:p>
    <w:p w:rsidR="00000000" w:rsidDel="00000000" w:rsidP="00000000" w:rsidRDefault="00000000" w:rsidRPr="00000000" w14:paraId="00000049">
      <w:pPr>
        <w:spacing w:line="240" w:lineRule="auto"/>
        <w:ind w:left="0" w:firstLine="0"/>
        <w:rPr>
          <w:rFonts w:ascii="Roboto" w:cs="Roboto" w:eastAsia="Roboto" w:hAnsi="Roboto"/>
          <w:color w:val="1d1d1d"/>
          <w:sz w:val="20"/>
          <w:szCs w:val="20"/>
          <w:highlight w:val="white"/>
        </w:rPr>
      </w:pPr>
      <w:r w:rsidDel="00000000" w:rsidR="00000000" w:rsidRPr="00000000">
        <w:rPr>
          <w:rtl w:val="0"/>
        </w:rPr>
      </w:r>
    </w:p>
    <w:tbl>
      <w:tblPr>
        <w:tblStyle w:val="Table2"/>
        <w:tblW w:w="88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155"/>
        <w:tblGridChange w:id="0">
          <w:tblGrid>
            <w:gridCol w:w="4680"/>
            <w:gridCol w:w="4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Total Fossil Fuel Policy Score (Out of 200)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Citi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JPMorgan 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19.5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Wells Fargo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Bank of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Morgan Stanley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Goldman Sachs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21.5 </w:t>
            </w:r>
          </w:p>
        </w:tc>
      </w:tr>
    </w:tbl>
    <w:p w:rsidR="00000000" w:rsidDel="00000000" w:rsidP="00000000" w:rsidRDefault="00000000" w:rsidRPr="00000000" w14:paraId="00000058">
      <w:pPr>
        <w:spacing w:line="240" w:lineRule="auto"/>
        <w:ind w:left="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59">
      <w:pPr>
        <w:spacing w:after="240" w:before="240" w:lineRule="auto"/>
        <w:rPr>
          <w:rFonts w:ascii="Roboto" w:cs="Roboto" w:eastAsia="Roboto" w:hAnsi="Roboto"/>
          <w:i w:val="1"/>
          <w:color w:val="1d1d1d"/>
          <w:sz w:val="18"/>
          <w:szCs w:val="18"/>
          <w:highlight w:val="white"/>
        </w:rPr>
      </w:pPr>
      <w:r w:rsidDel="00000000" w:rsidR="00000000" w:rsidRPr="00000000">
        <w:rPr>
          <w:rFonts w:ascii="Roboto" w:cs="Roboto" w:eastAsia="Roboto" w:hAnsi="Roboto"/>
          <w:i w:val="1"/>
          <w:color w:val="1d1d1d"/>
          <w:sz w:val="18"/>
          <w:szCs w:val="18"/>
          <w:highlight w:val="white"/>
        </w:rPr>
        <w:drawing>
          <wp:inline distB="114300" distT="114300" distL="114300" distR="114300">
            <wp:extent cx="5819775" cy="4038600"/>
            <wp:effectExtent b="0" l="0" r="0" t="0"/>
            <wp:docPr id="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819775" cy="40386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after="240" w:before="240" w:lineRule="auto"/>
        <w:rPr>
          <w:rFonts w:ascii="Roboto" w:cs="Roboto" w:eastAsia="Roboto" w:hAnsi="Roboto"/>
          <w:color w:val="1d1d1d"/>
          <w:sz w:val="18"/>
          <w:szCs w:val="18"/>
          <w:highlight w:val="white"/>
        </w:rPr>
      </w:pPr>
      <w:r w:rsidDel="00000000" w:rsidR="00000000" w:rsidRPr="00000000">
        <w:rPr>
          <w:rtl w:val="0"/>
        </w:rPr>
      </w:r>
    </w:p>
    <w:p w:rsidR="00000000" w:rsidDel="00000000" w:rsidP="00000000" w:rsidRDefault="00000000" w:rsidRPr="00000000" w14:paraId="0000005B">
      <w:pPr>
        <w:rPr>
          <w:rFonts w:ascii="Roboto" w:cs="Roboto" w:eastAsia="Roboto" w:hAnsi="Roboto"/>
          <w:color w:val="1d1d1d"/>
          <w:sz w:val="28"/>
          <w:szCs w:val="28"/>
          <w:highlight w:val="white"/>
          <w:u w:val="single"/>
        </w:rPr>
      </w:pPr>
      <w:r w:rsidDel="00000000" w:rsidR="00000000" w:rsidRPr="00000000">
        <w:rPr>
          <w:rFonts w:ascii="Roboto" w:cs="Roboto" w:eastAsia="Roboto" w:hAnsi="Roboto"/>
          <w:color w:val="1d1d1d"/>
          <w:sz w:val="28"/>
          <w:szCs w:val="28"/>
          <w:highlight w:val="white"/>
          <w:u w:val="single"/>
        </w:rPr>
        <w:drawing>
          <wp:inline distB="114300" distT="114300" distL="114300" distR="114300">
            <wp:extent cx="5943600" cy="3289300"/>
            <wp:effectExtent b="0" l="0" r="0" t="0"/>
            <wp:docPr descr="Chart" id="4" name="image2.png"/>
            <a:graphic>
              <a:graphicData uri="http://schemas.openxmlformats.org/drawingml/2006/picture">
                <pic:pic>
                  <pic:nvPicPr>
                    <pic:cNvPr descr="Chart" id="0" name="image2.png"/>
                    <pic:cNvPicPr preferRelativeResize="0"/>
                  </pic:nvPicPr>
                  <pic:blipFill>
                    <a:blip r:embed="rId12"/>
                    <a:srcRect b="0" l="0" r="0" t="0"/>
                    <a:stretch>
                      <a:fillRect/>
                    </a:stretch>
                  </pic:blipFill>
                  <pic:spPr>
                    <a:xfrm>
                      <a:off x="0" y="0"/>
                      <a:ext cx="5943600" cy="32893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rPr>
          <w:rFonts w:ascii="Roboto" w:cs="Roboto" w:eastAsia="Roboto" w:hAnsi="Roboto"/>
          <w:b w:val="1"/>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Fossil Fuel Policies</w:t>
      </w:r>
    </w:p>
    <w:p w:rsidR="00000000" w:rsidDel="00000000" w:rsidP="00000000" w:rsidRDefault="00000000" w:rsidRPr="00000000" w14:paraId="0000005D">
      <w:pPr>
        <w:rPr>
          <w:rFonts w:ascii="Roboto" w:cs="Roboto" w:eastAsia="Roboto" w:hAnsi="Roboto"/>
          <w:b w:val="1"/>
          <w:color w:val="1d1d1d"/>
          <w:sz w:val="28"/>
          <w:szCs w:val="28"/>
          <w:highlight w:val="white"/>
          <w:u w:val="single"/>
        </w:rPr>
      </w:pPr>
      <w:r w:rsidDel="00000000" w:rsidR="00000000" w:rsidRPr="00000000">
        <w:rPr>
          <w:rtl w:val="0"/>
        </w:rPr>
      </w:r>
    </w:p>
    <w:p w:rsidR="00000000" w:rsidDel="00000000" w:rsidP="00000000" w:rsidRDefault="00000000" w:rsidRPr="00000000" w14:paraId="0000005E">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u w:val="single"/>
          <w:rtl w:val="0"/>
        </w:rPr>
        <w:t xml:space="preserve">Oil</w:t>
      </w:r>
    </w:p>
    <w:p w:rsidR="00000000" w:rsidDel="00000000" w:rsidP="00000000" w:rsidRDefault="00000000" w:rsidRPr="00000000" w14:paraId="0000005F">
      <w:pPr>
        <w:rPr>
          <w:rFonts w:ascii="Roboto" w:cs="Roboto" w:eastAsia="Roboto" w:hAnsi="Roboto"/>
          <w:color w:val="1d1d1d"/>
        </w:rPr>
      </w:pPr>
      <w:r w:rsidDel="00000000" w:rsidR="00000000" w:rsidRPr="00000000">
        <w:rPr>
          <w:rFonts w:ascii="Roboto" w:cs="Roboto" w:eastAsia="Roboto" w:hAnsi="Roboto"/>
          <w:color w:val="1d1d1d"/>
          <w:rtl w:val="0"/>
        </w:rPr>
        <w:t xml:space="preserve">No policy prohibition.</w:t>
      </w:r>
      <w:r w:rsidDel="00000000" w:rsidR="00000000" w:rsidRPr="00000000">
        <w:rPr>
          <w:rtl w:val="0"/>
        </w:rPr>
      </w:r>
    </w:p>
    <w:p w:rsidR="00000000" w:rsidDel="00000000" w:rsidP="00000000" w:rsidRDefault="00000000" w:rsidRPr="00000000" w14:paraId="00000060">
      <w:pPr>
        <w:rPr>
          <w:rFonts w:ascii="Roboto" w:cs="Roboto" w:eastAsia="Roboto" w:hAnsi="Roboto"/>
          <w:color w:val="1d1d1d"/>
          <w:highlight w:val="white"/>
          <w:u w:val="single"/>
        </w:rPr>
      </w:pPr>
      <w:r w:rsidDel="00000000" w:rsidR="00000000" w:rsidRPr="00000000">
        <w:rPr>
          <w:rtl w:val="0"/>
        </w:rPr>
      </w:r>
    </w:p>
    <w:p w:rsidR="00000000" w:rsidDel="00000000" w:rsidP="00000000" w:rsidRDefault="00000000" w:rsidRPr="00000000" w14:paraId="00000061">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u w:val="single"/>
          <w:rtl w:val="0"/>
        </w:rPr>
        <w:t xml:space="preserve">Natural Gas</w:t>
      </w:r>
    </w:p>
    <w:p w:rsidR="00000000" w:rsidDel="00000000" w:rsidP="00000000" w:rsidRDefault="00000000" w:rsidRPr="00000000" w14:paraId="00000062">
      <w:pPr>
        <w:rPr>
          <w:rFonts w:ascii="Roboto" w:cs="Roboto" w:eastAsia="Roboto" w:hAnsi="Roboto"/>
          <w:color w:val="1d1d1d"/>
        </w:rPr>
      </w:pPr>
      <w:r w:rsidDel="00000000" w:rsidR="00000000" w:rsidRPr="00000000">
        <w:rPr>
          <w:rFonts w:ascii="Roboto" w:cs="Roboto" w:eastAsia="Roboto" w:hAnsi="Roboto"/>
          <w:color w:val="1d1d1d"/>
          <w:rtl w:val="0"/>
        </w:rPr>
        <w:t xml:space="preserve">No policy prohibition. </w:t>
      </w:r>
      <w:r w:rsidDel="00000000" w:rsidR="00000000" w:rsidRPr="00000000">
        <w:rPr>
          <w:rtl w:val="0"/>
        </w:rPr>
      </w:r>
    </w:p>
    <w:p w:rsidR="00000000" w:rsidDel="00000000" w:rsidP="00000000" w:rsidRDefault="00000000" w:rsidRPr="00000000" w14:paraId="00000063">
      <w:pPr>
        <w:rPr>
          <w:rFonts w:ascii="Roboto" w:cs="Roboto" w:eastAsia="Roboto" w:hAnsi="Roboto"/>
          <w:color w:val="1d1d1d"/>
          <w:highlight w:val="yellow"/>
        </w:rPr>
      </w:pPr>
      <w:r w:rsidDel="00000000" w:rsidR="00000000" w:rsidRPr="00000000">
        <w:rPr>
          <w:rtl w:val="0"/>
        </w:rPr>
      </w:r>
    </w:p>
    <w:p w:rsidR="00000000" w:rsidDel="00000000" w:rsidP="00000000" w:rsidRDefault="00000000" w:rsidRPr="00000000" w14:paraId="00000064">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u w:val="single"/>
          <w:rtl w:val="0"/>
        </w:rPr>
        <w:t xml:space="preserve">Coal</w:t>
      </w:r>
    </w:p>
    <w:p w:rsidR="00000000" w:rsidDel="00000000" w:rsidP="00000000" w:rsidRDefault="00000000" w:rsidRPr="00000000" w14:paraId="00000065">
      <w:pPr>
        <w:rPr>
          <w:rFonts w:ascii="Roboto" w:cs="Roboto" w:eastAsia="Roboto" w:hAnsi="Roboto"/>
          <w:color w:val="1d1d1d"/>
        </w:rPr>
      </w:pPr>
      <w:r w:rsidDel="00000000" w:rsidR="00000000" w:rsidRPr="00000000">
        <w:rPr>
          <w:rFonts w:ascii="Roboto" w:cs="Roboto" w:eastAsia="Roboto" w:hAnsi="Roboto"/>
          <w:color w:val="1d1d1d"/>
          <w:rtl w:val="0"/>
        </w:rPr>
        <w:t xml:space="preserve">Citi </w:t>
      </w:r>
      <w:hyperlink r:id="rId13">
        <w:r w:rsidDel="00000000" w:rsidR="00000000" w:rsidRPr="00000000">
          <w:rPr>
            <w:rFonts w:ascii="Roboto" w:cs="Roboto" w:eastAsia="Roboto" w:hAnsi="Roboto"/>
            <w:color w:val="1155cc"/>
            <w:u w:val="single"/>
            <w:rtl w:val="0"/>
          </w:rPr>
          <w:t xml:space="preserve">prohibits project-related financial services</w:t>
        </w:r>
      </w:hyperlink>
      <w:r w:rsidDel="00000000" w:rsidR="00000000" w:rsidRPr="00000000">
        <w:rPr>
          <w:rFonts w:ascii="Roboto" w:cs="Roboto" w:eastAsia="Roboto" w:hAnsi="Roboto"/>
          <w:color w:val="1d1d1d"/>
          <w:rtl w:val="0"/>
        </w:rPr>
        <w:t xml:space="preserve"> for coal-fired power plants, with the significant exception of plants that are (a) built with “ultra-supercritical” technology, the most efficient of modern coal plant designs, (b) in countries where no more than 90% of the population has access to electricity, and (c) aligned with the host country’s plans under the Paris Agreement. The policy also says Citi will “engage” with its clients in the power sector on their plans to reduce their greenhouse gas emissions, but it makes no commitments to stop financing these clients if they do not cut their emissions. </w:t>
      </w:r>
    </w:p>
    <w:p w:rsidR="00000000" w:rsidDel="00000000" w:rsidP="00000000" w:rsidRDefault="00000000" w:rsidRPr="00000000" w14:paraId="00000066">
      <w:pPr>
        <w:rPr>
          <w:rFonts w:ascii="Roboto" w:cs="Roboto" w:eastAsia="Roboto" w:hAnsi="Roboto"/>
          <w:color w:val="1d1d1d"/>
        </w:rPr>
      </w:pPr>
      <w:r w:rsidDel="00000000" w:rsidR="00000000" w:rsidRPr="00000000">
        <w:rPr>
          <w:rtl w:val="0"/>
        </w:rPr>
      </w:r>
    </w:p>
    <w:p w:rsidR="00000000" w:rsidDel="00000000" w:rsidP="00000000" w:rsidRDefault="00000000" w:rsidRPr="00000000" w14:paraId="00000067">
      <w:pPr>
        <w:rPr>
          <w:rFonts w:ascii="Roboto" w:cs="Roboto" w:eastAsia="Roboto" w:hAnsi="Roboto"/>
          <w:color w:val="1d1d1d"/>
        </w:rPr>
      </w:pPr>
      <w:r w:rsidDel="00000000" w:rsidR="00000000" w:rsidRPr="00000000">
        <w:rPr>
          <w:rFonts w:ascii="Roboto" w:cs="Roboto" w:eastAsia="Roboto" w:hAnsi="Roboto"/>
          <w:color w:val="1d1d1d"/>
          <w:rtl w:val="0"/>
        </w:rPr>
        <w:t xml:space="preserve">Citi’s coal policy does not lack any restrictions on corporate finance (i.e. general lending and</w:t>
      </w:r>
    </w:p>
    <w:p w:rsidR="00000000" w:rsidDel="00000000" w:rsidP="00000000" w:rsidRDefault="00000000" w:rsidRPr="00000000" w14:paraId="00000068">
      <w:pPr>
        <w:rPr>
          <w:rFonts w:ascii="Roboto" w:cs="Roboto" w:eastAsia="Roboto" w:hAnsi="Roboto"/>
          <w:color w:val="1d1d1d"/>
        </w:rPr>
      </w:pPr>
      <w:r w:rsidDel="00000000" w:rsidR="00000000" w:rsidRPr="00000000">
        <w:rPr>
          <w:rFonts w:ascii="Roboto" w:cs="Roboto" w:eastAsia="Roboto" w:hAnsi="Roboto"/>
          <w:color w:val="1d1d1d"/>
          <w:rtl w:val="0"/>
        </w:rPr>
        <w:t xml:space="preserve">underwriting services to coal companies). This allows Citi to finance companies who are directly building coal plants and projects as long as the company is paying for it out of their general operating funds</w:t>
      </w:r>
    </w:p>
    <w:p w:rsidR="00000000" w:rsidDel="00000000" w:rsidP="00000000" w:rsidRDefault="00000000" w:rsidRPr="00000000" w14:paraId="00000069">
      <w:pPr>
        <w:rPr>
          <w:rFonts w:ascii="Roboto" w:cs="Roboto" w:eastAsia="Roboto" w:hAnsi="Roboto"/>
          <w:color w:val="1d1d1d"/>
          <w:highlight w:val="yellow"/>
        </w:rPr>
      </w:pPr>
      <w:r w:rsidDel="00000000" w:rsidR="00000000" w:rsidRPr="00000000">
        <w:rPr>
          <w:rtl w:val="0"/>
        </w:rPr>
      </w:r>
    </w:p>
    <w:p w:rsidR="00000000" w:rsidDel="00000000" w:rsidP="00000000" w:rsidRDefault="00000000" w:rsidRPr="00000000" w14:paraId="0000006A">
      <w:pPr>
        <w:rPr>
          <w:rFonts w:ascii="Roboto" w:cs="Roboto" w:eastAsia="Roboto" w:hAnsi="Roboto"/>
          <w:color w:val="1d1d1d"/>
          <w:highlight w:val="white"/>
          <w:u w:val="single"/>
        </w:rPr>
      </w:pPr>
      <w:r w:rsidDel="00000000" w:rsidR="00000000" w:rsidRPr="00000000">
        <w:rPr>
          <w:rFonts w:ascii="Roboto" w:cs="Roboto" w:eastAsia="Roboto" w:hAnsi="Roboto"/>
          <w:color w:val="1d1d1d"/>
          <w:highlight w:val="white"/>
          <w:u w:val="single"/>
          <w:rtl w:val="0"/>
        </w:rPr>
        <w:t xml:space="preserve">Arctic Region  </w:t>
      </w:r>
    </w:p>
    <w:p w:rsidR="00000000" w:rsidDel="00000000" w:rsidP="00000000" w:rsidRDefault="00000000" w:rsidRPr="00000000" w14:paraId="0000006B">
      <w:pPr>
        <w:rPr>
          <w:rFonts w:ascii="Roboto" w:cs="Roboto" w:eastAsia="Roboto" w:hAnsi="Roboto"/>
          <w:color w:val="1d1d1d"/>
        </w:rPr>
      </w:pPr>
      <w:r w:rsidDel="00000000" w:rsidR="00000000" w:rsidRPr="00000000">
        <w:rPr>
          <w:rFonts w:ascii="Roboto" w:cs="Roboto" w:eastAsia="Roboto" w:hAnsi="Roboto"/>
          <w:color w:val="1d1d1d"/>
          <w:rtl w:val="0"/>
        </w:rPr>
        <w:t xml:space="preserve">Citi will not provide project related finance for oil and gas exploration, development and production in the Arctic Circle. </w:t>
      </w:r>
      <w:r w:rsidDel="00000000" w:rsidR="00000000" w:rsidRPr="00000000">
        <w:rPr>
          <w:rtl w:val="0"/>
        </w:rPr>
      </w:r>
    </w:p>
    <w:p w:rsidR="00000000" w:rsidDel="00000000" w:rsidP="00000000" w:rsidRDefault="00000000" w:rsidRPr="00000000" w14:paraId="0000006C">
      <w:pPr>
        <w:rPr>
          <w:rFonts w:ascii="Roboto" w:cs="Roboto" w:eastAsia="Roboto" w:hAnsi="Roboto"/>
          <w:color w:val="1d1d1d"/>
          <w:highlight w:val="white"/>
        </w:rPr>
      </w:pPr>
      <w:r w:rsidDel="00000000" w:rsidR="00000000" w:rsidRPr="00000000">
        <w:rPr>
          <w:rtl w:val="0"/>
        </w:rPr>
      </w:r>
    </w:p>
    <w:p w:rsidR="00000000" w:rsidDel="00000000" w:rsidP="00000000" w:rsidRDefault="00000000" w:rsidRPr="00000000" w14:paraId="0000006D">
      <w:pPr>
        <w:widowControl w:val="0"/>
        <w:spacing w:line="240" w:lineRule="auto"/>
        <w:rPr>
          <w:rFonts w:ascii="Roboto" w:cs="Roboto" w:eastAsia="Roboto" w:hAnsi="Roboto"/>
          <w:color w:val="262626"/>
          <w:sz w:val="28"/>
          <w:szCs w:val="28"/>
          <w:u w:val="single"/>
        </w:rPr>
      </w:pPr>
      <w:r w:rsidDel="00000000" w:rsidR="00000000" w:rsidRPr="00000000">
        <w:rPr>
          <w:rtl w:val="0"/>
        </w:rPr>
      </w:r>
    </w:p>
    <w:p w:rsidR="00000000" w:rsidDel="00000000" w:rsidP="00000000" w:rsidRDefault="00000000" w:rsidRPr="00000000" w14:paraId="0000006E">
      <w:pPr>
        <w:widowControl w:val="0"/>
        <w:spacing w:line="240" w:lineRule="auto"/>
        <w:rPr>
          <w:rFonts w:ascii="Roboto" w:cs="Roboto" w:eastAsia="Roboto" w:hAnsi="Roboto"/>
          <w:b w:val="1"/>
          <w:color w:val="262626"/>
          <w:sz w:val="28"/>
          <w:szCs w:val="28"/>
          <w:u w:val="single"/>
        </w:rPr>
      </w:pPr>
      <w:r w:rsidDel="00000000" w:rsidR="00000000" w:rsidRPr="00000000">
        <w:rPr>
          <w:rFonts w:ascii="Roboto" w:cs="Roboto" w:eastAsia="Roboto" w:hAnsi="Roboto"/>
          <w:b w:val="1"/>
          <w:color w:val="262626"/>
          <w:sz w:val="28"/>
          <w:szCs w:val="28"/>
          <w:u w:val="single"/>
          <w:rtl w:val="0"/>
        </w:rPr>
        <w:t xml:space="preserve">Measure - Disclose - Reduce</w:t>
      </w:r>
    </w:p>
    <w:p w:rsidR="00000000" w:rsidDel="00000000" w:rsidP="00000000" w:rsidRDefault="00000000" w:rsidRPr="00000000" w14:paraId="0000006F">
      <w:pPr>
        <w:widowControl w:val="0"/>
        <w:spacing w:line="240" w:lineRule="auto"/>
        <w:rPr>
          <w:rFonts w:ascii="Roboto" w:cs="Roboto" w:eastAsia="Roboto" w:hAnsi="Roboto"/>
          <w:color w:val="262626"/>
          <w:sz w:val="28"/>
          <w:szCs w:val="28"/>
        </w:rPr>
      </w:pPr>
      <w:r w:rsidDel="00000000" w:rsidR="00000000" w:rsidRPr="00000000">
        <w:rPr>
          <w:rtl w:val="0"/>
        </w:rPr>
      </w:r>
    </w:p>
    <w:p w:rsidR="00000000" w:rsidDel="00000000" w:rsidP="00000000" w:rsidRDefault="00000000" w:rsidRPr="00000000" w14:paraId="00000070">
      <w:pPr>
        <w:widowControl w:val="0"/>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In August 2020, Citi committed to the PCAF Standards, agreeing to disclose the greenhouse gas emissions associated with their portfolio of loans and investments.</w:t>
      </w:r>
    </w:p>
    <w:p w:rsidR="00000000" w:rsidDel="00000000" w:rsidP="00000000" w:rsidRDefault="00000000" w:rsidRPr="00000000" w14:paraId="00000071">
      <w:pPr>
        <w:widowControl w:val="0"/>
        <w:spacing w:line="240" w:lineRule="auto"/>
        <w:rPr>
          <w:rFonts w:ascii="Roboto" w:cs="Roboto" w:eastAsia="Roboto" w:hAnsi="Roboto"/>
          <w:color w:val="262626"/>
        </w:rPr>
      </w:pPr>
      <w:r w:rsidDel="00000000" w:rsidR="00000000" w:rsidRPr="00000000">
        <w:rPr>
          <w:rtl w:val="0"/>
        </w:rPr>
      </w:r>
    </w:p>
    <w:p w:rsidR="00000000" w:rsidDel="00000000" w:rsidP="00000000" w:rsidRDefault="00000000" w:rsidRPr="00000000" w14:paraId="00000072">
      <w:pPr>
        <w:widowControl w:val="0"/>
        <w:spacing w:line="240" w:lineRule="auto"/>
        <w:rPr>
          <w:rFonts w:ascii="Roboto" w:cs="Roboto" w:eastAsia="Roboto" w:hAnsi="Roboto"/>
          <w:color w:val="262626"/>
        </w:rPr>
      </w:pPr>
      <w:r w:rsidDel="00000000" w:rsidR="00000000" w:rsidRPr="00000000">
        <w:rPr>
          <w:rFonts w:ascii="Roboto" w:cs="Roboto" w:eastAsia="Roboto" w:hAnsi="Roboto"/>
          <w:color w:val="262626"/>
          <w:rtl w:val="0"/>
        </w:rPr>
        <w:t xml:space="preserve">In June 2017, Citi signed on to the </w:t>
      </w:r>
      <w:hyperlink r:id="rId14">
        <w:r w:rsidDel="00000000" w:rsidR="00000000" w:rsidRPr="00000000">
          <w:rPr>
            <w:rFonts w:ascii="Roboto" w:cs="Roboto" w:eastAsia="Roboto" w:hAnsi="Roboto"/>
            <w:color w:val="1155cc"/>
            <w:u w:val="single"/>
            <w:rtl w:val="0"/>
          </w:rPr>
          <w:t xml:space="preserve">Task Force on Climate Related Financial Disclosures</w:t>
        </w:r>
      </w:hyperlink>
      <w:r w:rsidDel="00000000" w:rsidR="00000000" w:rsidRPr="00000000">
        <w:rPr>
          <w:rFonts w:ascii="Roboto" w:cs="Roboto" w:eastAsia="Roboto" w:hAnsi="Roboto"/>
          <w:color w:val="262626"/>
          <w:rtl w:val="0"/>
        </w:rPr>
        <w:t xml:space="preserve">, a set of consistent and coherent principles for voluntary climate-related financial risk disclosures that provide information to investors, lenders, insurers, and other stakeholders.</w:t>
      </w:r>
    </w:p>
    <w:p w:rsidR="00000000" w:rsidDel="00000000" w:rsidP="00000000" w:rsidRDefault="00000000" w:rsidRPr="00000000" w14:paraId="00000073">
      <w:pPr>
        <w:rPr>
          <w:rFonts w:ascii="Roboto" w:cs="Roboto" w:eastAsia="Roboto" w:hAnsi="Roboto"/>
          <w:color w:val="1d1d1d"/>
          <w:sz w:val="28"/>
          <w:szCs w:val="28"/>
          <w:highlight w:val="white"/>
          <w:u w:val="single"/>
        </w:rPr>
      </w:pPr>
      <w:r w:rsidDel="00000000" w:rsidR="00000000" w:rsidRPr="00000000">
        <w:rPr>
          <w:rtl w:val="0"/>
        </w:rPr>
      </w:r>
    </w:p>
    <w:p w:rsidR="00000000" w:rsidDel="00000000" w:rsidP="00000000" w:rsidRDefault="00000000" w:rsidRPr="00000000" w14:paraId="00000074">
      <w:pPr>
        <w:rPr>
          <w:rFonts w:ascii="Roboto" w:cs="Roboto" w:eastAsia="Roboto" w:hAnsi="Roboto"/>
          <w:b w:val="1"/>
          <w:color w:val="1d1d1d"/>
          <w:sz w:val="28"/>
          <w:szCs w:val="28"/>
          <w:highlight w:val="white"/>
          <w:u w:val="single"/>
        </w:rPr>
      </w:pPr>
      <w:r w:rsidDel="00000000" w:rsidR="00000000" w:rsidRPr="00000000">
        <w:rPr>
          <w:rFonts w:ascii="Roboto" w:cs="Roboto" w:eastAsia="Roboto" w:hAnsi="Roboto"/>
          <w:b w:val="1"/>
          <w:color w:val="1d1d1d"/>
          <w:sz w:val="28"/>
          <w:szCs w:val="28"/>
          <w:highlight w:val="white"/>
          <w:u w:val="single"/>
          <w:rtl w:val="0"/>
        </w:rPr>
        <w:t xml:space="preserve">Recent Low-Carbon Announcements</w:t>
      </w:r>
    </w:p>
    <w:p w:rsidR="00000000" w:rsidDel="00000000" w:rsidP="00000000" w:rsidRDefault="00000000" w:rsidRPr="00000000" w14:paraId="00000075">
      <w:pPr>
        <w:rPr>
          <w:rFonts w:ascii="Roboto" w:cs="Roboto" w:eastAsia="Roboto" w:hAnsi="Roboto"/>
          <w:color w:val="1d1d1d"/>
          <w:sz w:val="18"/>
          <w:szCs w:val="18"/>
          <w:highlight w:val="white"/>
        </w:rPr>
      </w:pPr>
      <w:r w:rsidDel="00000000" w:rsidR="00000000" w:rsidRPr="00000000">
        <w:rPr>
          <w:rtl w:val="0"/>
        </w:rPr>
      </w:r>
    </w:p>
    <w:p w:rsidR="00000000" w:rsidDel="00000000" w:rsidP="00000000" w:rsidRDefault="00000000" w:rsidRPr="00000000" w14:paraId="00000076">
      <w:pPr>
        <w:numPr>
          <w:ilvl w:val="0"/>
          <w:numId w:val="3"/>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In July 2020 Citi announced its new five-year 2025 Sustainable Progress Strategy to help accelerate the transition to a low-carbon economy. This new strategy includes a $250 Billion Environmental Finance Goal to finance and facilitate climate solutions globally. </w:t>
      </w:r>
    </w:p>
    <w:p w:rsidR="00000000" w:rsidDel="00000000" w:rsidP="00000000" w:rsidRDefault="00000000" w:rsidRPr="00000000" w14:paraId="00000077">
      <w:pPr>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78">
      <w:pPr>
        <w:numPr>
          <w:ilvl w:val="0"/>
          <w:numId w:val="3"/>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Citi was a founding signatory of the Guiding Principles for Federal Action on Climate in 2019, calling for a U.S. climate policy that will ensure significant emissions reduction of 80% or more by 2050 with aggressive near- and mid-term reductions commensurate with this goal. </w:t>
      </w:r>
    </w:p>
    <w:p w:rsidR="00000000" w:rsidDel="00000000" w:rsidP="00000000" w:rsidRDefault="00000000" w:rsidRPr="00000000" w14:paraId="00000079">
      <w:pPr>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7A">
      <w:pPr>
        <w:numPr>
          <w:ilvl w:val="0"/>
          <w:numId w:val="3"/>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Citi is one of 17 international banks piloting the Paris Agreement Capital Transition Assessment</w:t>
      </w:r>
    </w:p>
    <w:p w:rsidR="00000000" w:rsidDel="00000000" w:rsidP="00000000" w:rsidRDefault="00000000" w:rsidRPr="00000000" w14:paraId="0000007B">
      <w:pPr>
        <w:ind w:left="720" w:firstLine="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(PACTA) methodology for climate scenario analysis of corporate lending portfolios, developed by</w:t>
      </w:r>
    </w:p>
    <w:p w:rsidR="00000000" w:rsidDel="00000000" w:rsidP="00000000" w:rsidRDefault="00000000" w:rsidRPr="00000000" w14:paraId="0000007C">
      <w:pPr>
        <w:ind w:left="720" w:firstLine="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the 2° Investing Initiative.</w:t>
      </w:r>
    </w:p>
    <w:p w:rsidR="00000000" w:rsidDel="00000000" w:rsidP="00000000" w:rsidRDefault="00000000" w:rsidRPr="00000000" w14:paraId="0000007D">
      <w:pPr>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7E">
      <w:pPr>
        <w:numPr>
          <w:ilvl w:val="0"/>
          <w:numId w:val="3"/>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Citi financed and facilitated $164 billion in environmental finance activity (2014-2019) to help reduce the impacts of climate change, exceeding the bank’s $100 Billion Environmental Finance Goal more than four years ahead of schedule, which was originally set for 2014-2023. </w:t>
      </w:r>
    </w:p>
    <w:p w:rsidR="00000000" w:rsidDel="00000000" w:rsidP="00000000" w:rsidRDefault="00000000" w:rsidRPr="00000000" w14:paraId="0000007F">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80">
      <w:pPr>
        <w:numPr>
          <w:ilvl w:val="0"/>
          <w:numId w:val="3"/>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In May 2020, Citi announced the issuance of the firm’s first $1.5 billion USD-denominated benchmark green bond. An amount equivalent to the net proceeds of this green bond will fund renewable energy, sustainable transportation, water quality and conservation, energy efficiency and green building projects as outlined in the environmental eligibility criteria described in </w:t>
      </w:r>
      <w:hyperlink r:id="rId15">
        <w:r w:rsidDel="00000000" w:rsidR="00000000" w:rsidRPr="00000000">
          <w:rPr>
            <w:rFonts w:ascii="Roboto" w:cs="Roboto" w:eastAsia="Roboto" w:hAnsi="Roboto"/>
            <w:color w:val="1155cc"/>
            <w:sz w:val="20"/>
            <w:szCs w:val="20"/>
            <w:highlight w:val="white"/>
            <w:u w:val="single"/>
            <w:rtl w:val="0"/>
          </w:rPr>
          <w:t xml:space="preserve">Citi’s Green Bond Framework</w:t>
        </w:r>
      </w:hyperlink>
      <w:r w:rsidDel="00000000" w:rsidR="00000000" w:rsidRPr="00000000">
        <w:rPr>
          <w:rFonts w:ascii="Roboto" w:cs="Roboto" w:eastAsia="Roboto" w:hAnsi="Roboto"/>
          <w:color w:val="1d1d1d"/>
          <w:sz w:val="20"/>
          <w:szCs w:val="20"/>
          <w:highlight w:val="white"/>
          <w:rtl w:val="0"/>
        </w:rPr>
        <w:t xml:space="preserve">.</w:t>
      </w:r>
      <w:r w:rsidDel="00000000" w:rsidR="00000000" w:rsidRPr="00000000">
        <w:rPr>
          <w:rtl w:val="0"/>
        </w:rPr>
      </w:r>
    </w:p>
    <w:p w:rsidR="00000000" w:rsidDel="00000000" w:rsidP="00000000" w:rsidRDefault="00000000" w:rsidRPr="00000000" w14:paraId="00000081">
      <w:pPr>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82">
      <w:pPr>
        <w:numPr>
          <w:ilvl w:val="0"/>
          <w:numId w:val="3"/>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The Task Force on Climate-related Financial Disclosures (TCFD) is an initiative that has </w:t>
      </w:r>
    </w:p>
    <w:p w:rsidR="00000000" w:rsidDel="00000000" w:rsidP="00000000" w:rsidRDefault="00000000" w:rsidRPr="00000000" w14:paraId="00000083">
      <w:pPr>
        <w:ind w:left="720" w:firstLine="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mainstreamed the idea that global businesses, including banks, should disclose the risks that climate change poses to their balance sheets and business models. Citi is the most advanced among U.S. banks on its TCFD reporting, having published a scenario analysis testing how climate change will affect its credit exposure to certain groupings of high-carbon clients. </w:t>
      </w:r>
    </w:p>
    <w:p w:rsidR="00000000" w:rsidDel="00000000" w:rsidP="00000000" w:rsidRDefault="00000000" w:rsidRPr="00000000" w14:paraId="00000084">
      <w:pPr>
        <w:ind w:left="72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85">
      <w:pPr>
        <w:numPr>
          <w:ilvl w:val="0"/>
          <w:numId w:val="5"/>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Citi was one of the largest underwriters of green, social and sustainability bonds globally in 2019 and co-founded the Green Bond Principles, which provide issuers with guidelines encouraging transparency.  </w:t>
      </w:r>
    </w:p>
    <w:p w:rsidR="00000000" w:rsidDel="00000000" w:rsidP="00000000" w:rsidRDefault="00000000" w:rsidRPr="00000000" w14:paraId="00000086">
      <w:pPr>
        <w:ind w:left="0" w:firstLine="0"/>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87">
      <w:pPr>
        <w:numPr>
          <w:ilvl w:val="0"/>
          <w:numId w:val="7"/>
        </w:numPr>
        <w:ind w:left="720" w:hanging="360"/>
        <w:rPr>
          <w:rFonts w:ascii="Roboto" w:cs="Roboto" w:eastAsia="Roboto" w:hAnsi="Roboto"/>
          <w:color w:val="1d1d1d"/>
          <w:sz w:val="20"/>
          <w:szCs w:val="20"/>
          <w:highlight w:val="white"/>
        </w:rPr>
      </w:pPr>
      <w:r w:rsidDel="00000000" w:rsidR="00000000" w:rsidRPr="00000000">
        <w:rPr>
          <w:rFonts w:ascii="Roboto" w:cs="Roboto" w:eastAsia="Roboto" w:hAnsi="Roboto"/>
          <w:color w:val="1d1d1d"/>
          <w:sz w:val="20"/>
          <w:szCs w:val="20"/>
          <w:highlight w:val="white"/>
          <w:rtl w:val="0"/>
        </w:rPr>
        <w:t xml:space="preserve">In 2019, the Italian utility Enel launched the world’s first general purpose bond linked to the Sustainable Development Goals. It was the first general corporate purposes bond to be linked to sustainability performance indicators. Citi acted as joint active bookrunner on the $1.5 billion U.S. bond issue. </w:t>
      </w:r>
      <w:r w:rsidDel="00000000" w:rsidR="00000000" w:rsidRPr="00000000">
        <w:rPr>
          <w:rtl w:val="0"/>
        </w:rPr>
      </w:r>
    </w:p>
    <w:p w:rsidR="00000000" w:rsidDel="00000000" w:rsidP="00000000" w:rsidRDefault="00000000" w:rsidRPr="00000000" w14:paraId="00000088">
      <w:pPr>
        <w:rPr>
          <w:rFonts w:ascii="Roboto" w:cs="Roboto" w:eastAsia="Roboto" w:hAnsi="Roboto"/>
          <w:color w:val="1d1d1d"/>
          <w:sz w:val="28"/>
          <w:szCs w:val="28"/>
          <w:highlight w:val="white"/>
        </w:rPr>
      </w:pPr>
      <w:r w:rsidDel="00000000" w:rsidR="00000000" w:rsidRPr="00000000">
        <w:rPr>
          <w:rtl w:val="0"/>
        </w:rPr>
      </w:r>
    </w:p>
    <w:p w:rsidR="00000000" w:rsidDel="00000000" w:rsidP="00000000" w:rsidRDefault="00000000" w:rsidRPr="00000000" w14:paraId="00000089">
      <w:pPr>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Read Citi’s updated 2020 Environmental and Social Policy Framework:</w:t>
      </w:r>
    </w:p>
    <w:p w:rsidR="00000000" w:rsidDel="00000000" w:rsidP="00000000" w:rsidRDefault="00000000" w:rsidRPr="00000000" w14:paraId="0000008A">
      <w:pPr>
        <w:rPr>
          <w:rFonts w:ascii="Roboto" w:cs="Roboto" w:eastAsia="Roboto" w:hAnsi="Roboto"/>
          <w:color w:val="1d1d1d"/>
          <w:sz w:val="20"/>
          <w:szCs w:val="20"/>
          <w:highlight w:val="white"/>
        </w:rPr>
      </w:pPr>
      <w:hyperlink r:id="rId16">
        <w:r w:rsidDel="00000000" w:rsidR="00000000" w:rsidRPr="00000000">
          <w:rPr>
            <w:rFonts w:ascii="Roboto" w:cs="Roboto" w:eastAsia="Roboto" w:hAnsi="Roboto"/>
            <w:color w:val="1155cc"/>
            <w:sz w:val="20"/>
            <w:szCs w:val="20"/>
            <w:highlight w:val="white"/>
            <w:u w:val="single"/>
            <w:rtl w:val="0"/>
          </w:rPr>
          <w:t xml:space="preserve">https://www.citigroup.com/citi/sustainability/data/Environmental-and-Social-Policy-Framework.pdf</w:t>
        </w:r>
      </w:hyperlink>
      <w:r w:rsidDel="00000000" w:rsidR="00000000" w:rsidRPr="00000000">
        <w:rPr>
          <w:rtl w:val="0"/>
        </w:rPr>
      </w:r>
    </w:p>
    <w:p w:rsidR="00000000" w:rsidDel="00000000" w:rsidP="00000000" w:rsidRDefault="00000000" w:rsidRPr="00000000" w14:paraId="0000008B">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8C">
      <w:pPr>
        <w:rPr>
          <w:rFonts w:ascii="Roboto" w:cs="Roboto" w:eastAsia="Roboto" w:hAnsi="Roboto"/>
          <w:b w:val="1"/>
          <w:color w:val="1d1d1d"/>
          <w:sz w:val="20"/>
          <w:szCs w:val="20"/>
          <w:highlight w:val="white"/>
        </w:rPr>
      </w:pPr>
      <w:r w:rsidDel="00000000" w:rsidR="00000000" w:rsidRPr="00000000">
        <w:rPr>
          <w:rFonts w:ascii="Roboto" w:cs="Roboto" w:eastAsia="Roboto" w:hAnsi="Roboto"/>
          <w:b w:val="1"/>
          <w:color w:val="1d1d1d"/>
          <w:sz w:val="20"/>
          <w:szCs w:val="20"/>
          <w:highlight w:val="white"/>
          <w:rtl w:val="0"/>
        </w:rPr>
        <w:t xml:space="preserve">Read Citi’s Environmental, Social, and Governance Report 2019 here:</w:t>
      </w:r>
    </w:p>
    <w:p w:rsidR="00000000" w:rsidDel="00000000" w:rsidP="00000000" w:rsidRDefault="00000000" w:rsidRPr="00000000" w14:paraId="0000008D">
      <w:pPr>
        <w:rPr>
          <w:rFonts w:ascii="Roboto" w:cs="Roboto" w:eastAsia="Roboto" w:hAnsi="Roboto"/>
          <w:color w:val="1d1d1d"/>
          <w:sz w:val="20"/>
          <w:szCs w:val="20"/>
          <w:highlight w:val="white"/>
        </w:rPr>
      </w:pPr>
      <w:hyperlink r:id="rId17">
        <w:r w:rsidDel="00000000" w:rsidR="00000000" w:rsidRPr="00000000">
          <w:rPr>
            <w:rFonts w:ascii="Roboto" w:cs="Roboto" w:eastAsia="Roboto" w:hAnsi="Roboto"/>
            <w:color w:val="1155cc"/>
            <w:sz w:val="20"/>
            <w:szCs w:val="20"/>
            <w:highlight w:val="white"/>
            <w:u w:val="single"/>
            <w:rtl w:val="0"/>
          </w:rPr>
          <w:t xml:space="preserve">https://www.citigroup.com/citi/about/esg/download/2019/Global-ESG-Report-2019.pdf</w:t>
        </w:r>
      </w:hyperlink>
      <w:r w:rsidDel="00000000" w:rsidR="00000000" w:rsidRPr="00000000">
        <w:rPr>
          <w:rtl w:val="0"/>
        </w:rPr>
      </w:r>
    </w:p>
    <w:p w:rsidR="00000000" w:rsidDel="00000000" w:rsidP="00000000" w:rsidRDefault="00000000" w:rsidRPr="00000000" w14:paraId="0000008E">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8F">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90">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91">
      <w:pPr>
        <w:rPr>
          <w:rFonts w:ascii="Roboto" w:cs="Roboto" w:eastAsia="Roboto" w:hAnsi="Roboto"/>
          <w:color w:val="1d1d1d"/>
          <w:sz w:val="20"/>
          <w:szCs w:val="20"/>
          <w:highlight w:val="white"/>
        </w:rPr>
      </w:pPr>
      <w:r w:rsidDel="00000000" w:rsidR="00000000" w:rsidRPr="00000000">
        <w:rPr>
          <w:rtl w:val="0"/>
        </w:rPr>
      </w:r>
    </w:p>
    <w:p w:rsidR="00000000" w:rsidDel="00000000" w:rsidP="00000000" w:rsidRDefault="00000000" w:rsidRPr="00000000" w14:paraId="00000092">
      <w:pPr>
        <w:spacing w:line="240" w:lineRule="auto"/>
        <w:rPr>
          <w:rFonts w:ascii="Roboto Light" w:cs="Roboto Light" w:eastAsia="Roboto Light" w:hAnsi="Roboto Light"/>
          <w:color w:val="03123d"/>
          <w:sz w:val="18"/>
          <w:szCs w:val="18"/>
        </w:rPr>
      </w:pPr>
      <w:r w:rsidDel="00000000" w:rsidR="00000000" w:rsidRPr="00000000">
        <w:rPr>
          <w:rtl w:val="0"/>
        </w:rPr>
      </w:r>
    </w:p>
    <w:p w:rsidR="00000000" w:rsidDel="00000000" w:rsidP="00000000" w:rsidRDefault="00000000" w:rsidRPr="00000000" w14:paraId="00000093">
      <w:pPr>
        <w:spacing w:line="240" w:lineRule="auto"/>
        <w:rPr>
          <w:rFonts w:ascii="Roboto Light" w:cs="Roboto Light" w:eastAsia="Roboto Light" w:hAnsi="Roboto Light"/>
          <w:color w:val="03123d"/>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4">
      <w:pPr>
        <w:spacing w:line="240" w:lineRule="auto"/>
        <w:rPr>
          <w:rFonts w:ascii="Lato Black" w:cs="Lato Black" w:eastAsia="Lato Black" w:hAnsi="Lato Black"/>
          <w:color w:val="03123d"/>
        </w:rPr>
      </w:pPr>
      <w:r w:rsidDel="00000000" w:rsidR="00000000" w:rsidRPr="00000000">
        <w:rPr>
          <w:rtl w:val="0"/>
        </w:rPr>
      </w:r>
    </w:p>
    <w:p w:rsidR="00000000" w:rsidDel="00000000" w:rsidP="00000000" w:rsidRDefault="00000000" w:rsidRPr="00000000" w14:paraId="00000095">
      <w:pPr>
        <w:spacing w:line="240" w:lineRule="auto"/>
        <w:jc w:val="center"/>
        <w:rPr>
          <w:rFonts w:ascii="Roboto Light" w:cs="Roboto Light" w:eastAsia="Roboto Light" w:hAnsi="Roboto Light"/>
          <w:sz w:val="18"/>
          <w:szCs w:val="18"/>
        </w:rPr>
      </w:pPr>
      <w:r w:rsidDel="00000000" w:rsidR="00000000" w:rsidRPr="00000000">
        <w:rPr>
          <w:rFonts w:ascii="Lato Black" w:cs="Lato Black" w:eastAsia="Lato Black" w:hAnsi="Lato Black"/>
          <w:color w:val="03123d"/>
          <w:rtl w:val="0"/>
        </w:rPr>
        <w:t xml:space="preserve">Website |</w:t>
      </w:r>
      <w:r w:rsidDel="00000000" w:rsidR="00000000" w:rsidRPr="00000000">
        <w:rPr>
          <w:rFonts w:ascii="Lato Black" w:cs="Lato Black" w:eastAsia="Lato Black" w:hAnsi="Lato Black"/>
          <w:sz w:val="23"/>
          <w:szCs w:val="23"/>
          <w:rtl w:val="0"/>
        </w:rPr>
        <w:t xml:space="preserve"> </w:t>
      </w:r>
      <w:hyperlink r:id="rId18">
        <w:r w:rsidDel="00000000" w:rsidR="00000000" w:rsidRPr="00000000">
          <w:rPr>
            <w:rFonts w:ascii="Roboto Light" w:cs="Roboto Light" w:eastAsia="Roboto Light" w:hAnsi="Roboto Light"/>
            <w:color w:val="1155cc"/>
            <w:sz w:val="18"/>
            <w:szCs w:val="18"/>
            <w:u w:val="single"/>
            <w:rtl w:val="0"/>
          </w:rPr>
          <w:t xml:space="preserve">bank-fwd.org</w:t>
        </w:r>
      </w:hyperlink>
      <w:r w:rsidDel="00000000" w:rsidR="00000000" w:rsidRPr="00000000">
        <w:rPr>
          <w:rtl w:val="0"/>
        </w:rPr>
      </w:r>
    </w:p>
    <w:p w:rsidR="00000000" w:rsidDel="00000000" w:rsidP="00000000" w:rsidRDefault="00000000" w:rsidRPr="00000000" w14:paraId="00000096">
      <w:pPr>
        <w:spacing w:line="240" w:lineRule="auto"/>
        <w:jc w:val="center"/>
        <w:rPr/>
      </w:pPr>
      <w:r w:rsidDel="00000000" w:rsidR="00000000" w:rsidRPr="00000000">
        <w:rPr>
          <w:rFonts w:ascii="Lato Black" w:cs="Lato Black" w:eastAsia="Lato Black" w:hAnsi="Lato Black"/>
          <w:color w:val="03123d"/>
          <w:rtl w:val="0"/>
        </w:rPr>
        <w:t xml:space="preserve">Email |</w:t>
      </w:r>
      <w:r w:rsidDel="00000000" w:rsidR="00000000" w:rsidRPr="00000000">
        <w:rPr>
          <w:rFonts w:ascii="Roboto Light" w:cs="Roboto Light" w:eastAsia="Roboto Light" w:hAnsi="Roboto Light"/>
          <w:sz w:val="23"/>
          <w:szCs w:val="23"/>
          <w:rtl w:val="0"/>
        </w:rPr>
        <w:t xml:space="preserve"> </w:t>
      </w:r>
      <w:hyperlink r:id="rId19">
        <w:r w:rsidDel="00000000" w:rsidR="00000000" w:rsidRPr="00000000">
          <w:rPr>
            <w:rFonts w:ascii="Roboto Light" w:cs="Roboto Light" w:eastAsia="Roboto Light" w:hAnsi="Roboto Light"/>
            <w:color w:val="1155cc"/>
            <w:sz w:val="18"/>
            <w:szCs w:val="18"/>
            <w:u w:val="single"/>
            <w:rtl w:val="0"/>
          </w:rPr>
          <w:t xml:space="preserve">info@bank-fwd.org</w:t>
        </w:r>
      </w:hyperlink>
      <w:r w:rsidDel="00000000" w:rsidR="00000000" w:rsidRPr="00000000">
        <w:rPr>
          <w:rtl w:val="0"/>
        </w:rPr>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Black">
    <w:embedBold w:fontKey="{00000000-0000-0000-0000-000000000000}" r:id="rId5" w:subsetted="0"/>
    <w:embedBoldItalic w:fontKey="{00000000-0000-0000-0000-000000000000}" r:id="rId6" w:subsetted="0"/>
  </w:font>
  <w:font w:name="Roboto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7">
      <w:pPr>
        <w:spacing w:line="240" w:lineRule="auto"/>
        <w:rPr>
          <w:rFonts w:ascii="Roboto" w:cs="Roboto" w:eastAsia="Roboto" w:hAnsi="Roboto"/>
          <w:sz w:val="20"/>
          <w:szCs w:val="20"/>
        </w:rPr>
      </w:pPr>
      <w:r w:rsidDel="00000000" w:rsidR="00000000" w:rsidRPr="00000000">
        <w:rPr>
          <w:rStyle w:val="FootnoteReference"/>
          <w:vertAlign w:val="superscript"/>
        </w:rPr>
        <w:footnoteRef/>
      </w:r>
      <w:r w:rsidDel="00000000" w:rsidR="00000000" w:rsidRPr="00000000">
        <w:rPr>
          <w:rFonts w:ascii="Roboto" w:cs="Roboto" w:eastAsia="Roboto" w:hAnsi="Roboto"/>
          <w:sz w:val="20"/>
          <w:szCs w:val="20"/>
          <w:rtl w:val="0"/>
        </w:rPr>
        <w:t xml:space="preserve"> The Dirty Dozen is a list of the top 12 private-sector banks that lead in financing the fossil fuel industry. More information can be found here: </w:t>
      </w:r>
      <w:hyperlink r:id="rId1">
        <w:r w:rsidDel="00000000" w:rsidR="00000000" w:rsidRPr="00000000">
          <w:rPr>
            <w:rFonts w:ascii="Roboto" w:cs="Roboto" w:eastAsia="Roboto" w:hAnsi="Roboto"/>
            <w:color w:val="1155cc"/>
            <w:sz w:val="20"/>
            <w:szCs w:val="20"/>
            <w:u w:val="single"/>
            <w:rtl w:val="0"/>
          </w:rPr>
          <w:t xml:space="preserve">https://www.ran.org/bankingonclimatechange2020/</w:t>
        </w:r>
      </w:hyperlink>
      <w:r w:rsidDel="00000000" w:rsidR="00000000" w:rsidRPr="00000000">
        <w:rPr>
          <w:rtl w:val="0"/>
        </w:rPr>
      </w:r>
    </w:p>
    <w:p w:rsidR="00000000" w:rsidDel="00000000" w:rsidP="00000000" w:rsidRDefault="00000000" w:rsidRPr="00000000" w14:paraId="00000098">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rtl w:val="0"/>
      </w:rPr>
      <w:t xml:space="preserve">Last Updated: 09/19/2020</w:t>
    </w:r>
  </w:p>
  <w:p w:rsidR="00000000" w:rsidDel="00000000" w:rsidP="00000000" w:rsidRDefault="00000000" w:rsidRPr="00000000" w14:paraId="0000009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1.png"/><Relationship Id="rId10" Type="http://schemas.openxmlformats.org/officeDocument/2006/relationships/hyperlink" Target="https://www.ran.org/press-releases/citigroup-announces-new-coal-policy-climate-advocates-respond/" TargetMode="External"/><Relationship Id="rId13" Type="http://schemas.openxmlformats.org/officeDocument/2006/relationships/hyperlink" Target="https://www.banktrack.org/article/citigroup_announces_new_coal_policy_climate_advocates_respond#:~:text=BankTrack%20%E2%80%93%20Citigroup%20announces%20new%20coal,drilling%20policy%3B%20Climate%20advocates%20respond&amp;text=Ahead%20of%20its%202020%20Annual,Environmental%20and%20Social%20Policy%20Framework."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an.org/bankingonclimatechange2020/" TargetMode="External"/><Relationship Id="rId15" Type="http://schemas.openxmlformats.org/officeDocument/2006/relationships/hyperlink" Target="https://www.citigroup.com/citi/fixedincome/data/Citi-green-bond-framework.pdf" TargetMode="External"/><Relationship Id="rId14" Type="http://schemas.openxmlformats.org/officeDocument/2006/relationships/hyperlink" Target="https://www.fsb-tcfd.org/tcfd-supporters/" TargetMode="External"/><Relationship Id="rId17" Type="http://schemas.openxmlformats.org/officeDocument/2006/relationships/hyperlink" Target="https://www.citigroup.com/citi/about/esg/download/2019/Global-ESG-Report-2019.pdf" TargetMode="External"/><Relationship Id="rId16" Type="http://schemas.openxmlformats.org/officeDocument/2006/relationships/hyperlink" Target="https://www.citigroup.com/citi/sustainability/data/Environmental-and-Social-Policy-Framework.pdf" TargetMode="External"/><Relationship Id="rId5" Type="http://schemas.openxmlformats.org/officeDocument/2006/relationships/numbering" Target="numbering.xml"/><Relationship Id="rId19" Type="http://schemas.openxmlformats.org/officeDocument/2006/relationships/hyperlink" Target="mailto:info@bank-fwd.org" TargetMode="External"/><Relationship Id="rId6" Type="http://schemas.openxmlformats.org/officeDocument/2006/relationships/styles" Target="styles.xml"/><Relationship Id="rId18" Type="http://schemas.openxmlformats.org/officeDocument/2006/relationships/hyperlink" Target="https://www.bank-fwd.org/" TargetMode="Externa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RobotoLight-boldItalic.ttf"/><Relationship Id="rId9" Type="http://schemas.openxmlformats.org/officeDocument/2006/relationships/font" Target="fonts/RobotoLight-italic.ttf"/><Relationship Id="rId5" Type="http://schemas.openxmlformats.org/officeDocument/2006/relationships/font" Target="fonts/LatoBlack-bold.ttf"/><Relationship Id="rId6" Type="http://schemas.openxmlformats.org/officeDocument/2006/relationships/font" Target="fonts/LatoBlack-boldItalic.ttf"/><Relationship Id="rId7" Type="http://schemas.openxmlformats.org/officeDocument/2006/relationships/font" Target="fonts/RobotoLight-regular.ttf"/><Relationship Id="rId8" Type="http://schemas.openxmlformats.org/officeDocument/2006/relationships/font" Target="fonts/RobotoLight-bold.ttf"/></Relationships>
</file>

<file path=word/_rels/footnotes.xml.rels><?xml version="1.0" encoding="UTF-8" standalone="yes"?><Relationships xmlns="http://schemas.openxmlformats.org/package/2006/relationships"><Relationship Id="rId1" Type="http://schemas.openxmlformats.org/officeDocument/2006/relationships/hyperlink" Target="https://www.ran.org/bankingonclimatechang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3iCzpuf1VsJRTKgvi8DdudY69Q==">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