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357688" cy="747232"/>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57688" cy="7472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jc w:val="left"/>
        <w:rPr/>
      </w:pPr>
      <w:r w:rsidDel="00000000" w:rsidR="00000000" w:rsidRPr="00000000">
        <w:rPr>
          <w:rtl w:val="0"/>
        </w:rPr>
      </w:r>
    </w:p>
    <w:p w:rsidR="00000000" w:rsidDel="00000000" w:rsidP="00000000" w:rsidRDefault="00000000" w:rsidRPr="00000000" w14:paraId="00000003">
      <w:pPr>
        <w:ind w:left="1440" w:firstLine="720"/>
        <w:jc w:val="left"/>
        <w:rPr/>
      </w:pPr>
      <w:r w:rsidDel="00000000" w:rsidR="00000000" w:rsidRPr="00000000">
        <w:rPr>
          <w:rtl w:val="0"/>
        </w:rPr>
        <w:t xml:space="preserve">     </w:t>
      </w:r>
      <w:r w:rsidDel="00000000" w:rsidR="00000000" w:rsidRPr="00000000">
        <w:rPr>
          <w:rFonts w:ascii="Lato Black" w:cs="Lato Black" w:eastAsia="Lato Black" w:hAnsi="Lato Black"/>
          <w:color w:val="03123d"/>
          <w:sz w:val="36"/>
          <w:szCs w:val="36"/>
          <w:rtl w:val="0"/>
        </w:rPr>
        <w:t xml:space="preserve">Goldman Sachs Fact Sheet</w:t>
      </w:r>
      <w:r w:rsidDel="00000000" w:rsidR="00000000" w:rsidRPr="00000000">
        <w:rPr>
          <w:rFonts w:ascii="Lato Black" w:cs="Lato Black" w:eastAsia="Lato Black" w:hAnsi="Lato Black"/>
          <w:color w:val="03123d"/>
          <w:rtl w:val="0"/>
        </w:rPr>
        <w:t xml:space="preserve">            </w:t>
      </w:r>
      <w:r w:rsidDel="00000000" w:rsidR="00000000" w:rsidRPr="00000000">
        <w:rPr>
          <w:rFonts w:ascii="Lato Black" w:cs="Lato Black" w:eastAsia="Lato Black" w:hAnsi="Lato Black"/>
          <w:color w:val="03123d"/>
          <w:sz w:val="36"/>
          <w:szCs w:val="36"/>
          <w:rtl w:val="0"/>
        </w:rPr>
        <w:t xml:space="preserve"> </w:t>
      </w:r>
      <w:r w:rsidDel="00000000" w:rsidR="00000000" w:rsidRPr="00000000">
        <w:rPr>
          <w:rtl w:val="0"/>
        </w:rPr>
      </w:r>
    </w:p>
    <w:p w:rsidR="00000000" w:rsidDel="00000000" w:rsidP="00000000" w:rsidRDefault="00000000" w:rsidRPr="00000000" w14:paraId="00000004">
      <w:pPr>
        <w:ind w:left="3600" w:firstLine="0"/>
        <w:rPr/>
      </w:pPr>
      <w:r w:rsidDel="00000000" w:rsidR="00000000" w:rsidRPr="00000000">
        <w:rPr>
          <w:rtl w:val="0"/>
        </w:rPr>
      </w:r>
    </w:p>
    <w:p w:rsidR="00000000" w:rsidDel="00000000" w:rsidP="00000000" w:rsidRDefault="00000000" w:rsidRPr="00000000" w14:paraId="00000005">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b w:val="1"/>
          <w:color w:val="262626"/>
          <w:sz w:val="28"/>
          <w:szCs w:val="28"/>
          <w:u w:val="single"/>
          <w:rtl w:val="0"/>
        </w:rPr>
        <w:t xml:space="preserve">Quick Facts &amp; Talking Points</w:t>
      </w:r>
      <w:r w:rsidDel="00000000" w:rsidR="00000000" w:rsidRPr="00000000">
        <w:rPr>
          <w:rtl w:val="0"/>
        </w:rPr>
      </w:r>
    </w:p>
    <w:p w:rsidR="00000000" w:rsidDel="00000000" w:rsidP="00000000" w:rsidRDefault="00000000" w:rsidRPr="00000000" w14:paraId="00000006">
      <w:pPr>
        <w:spacing w:line="240" w:lineRule="auto"/>
        <w:ind w:left="144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07">
      <w:pPr>
        <w:numPr>
          <w:ilvl w:val="0"/>
          <w:numId w:val="4"/>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Assets 2019</w:t>
      </w:r>
      <w:r w:rsidDel="00000000" w:rsidR="00000000" w:rsidRPr="00000000">
        <w:rPr>
          <w:rtl w:val="0"/>
        </w:rPr>
      </w:r>
    </w:p>
    <w:p w:rsidR="00000000" w:rsidDel="00000000" w:rsidP="00000000" w:rsidRDefault="00000000" w:rsidRPr="00000000" w14:paraId="00000008">
      <w:pPr>
        <w:numPr>
          <w:ilvl w:val="1"/>
          <w:numId w:val="4"/>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$992 billion</w:t>
      </w:r>
    </w:p>
    <w:p w:rsidR="00000000" w:rsidDel="00000000" w:rsidP="00000000" w:rsidRDefault="00000000" w:rsidRPr="00000000" w14:paraId="00000009">
      <w:pPr>
        <w:spacing w:line="240" w:lineRule="auto"/>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Fossil Fuel Financing in 2019</w:t>
      </w:r>
      <w:r w:rsidDel="00000000" w:rsidR="00000000" w:rsidRPr="00000000">
        <w:rPr>
          <w:rtl w:val="0"/>
        </w:rPr>
      </w:r>
    </w:p>
    <w:p w:rsidR="00000000" w:rsidDel="00000000" w:rsidP="00000000" w:rsidRDefault="00000000" w:rsidRPr="00000000" w14:paraId="0000000B">
      <w:pPr>
        <w:numPr>
          <w:ilvl w:val="1"/>
          <w:numId w:val="2"/>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$22 billion </w:t>
      </w:r>
    </w:p>
    <w:p w:rsidR="00000000" w:rsidDel="00000000" w:rsidP="00000000" w:rsidRDefault="00000000" w:rsidRPr="00000000" w14:paraId="0000000C">
      <w:pPr>
        <w:numPr>
          <w:ilvl w:val="1"/>
          <w:numId w:val="2"/>
        </w:numPr>
        <w:spacing w:line="240" w:lineRule="auto"/>
        <w:ind w:left="1440" w:hanging="360"/>
        <w:rPr>
          <w:rFonts w:ascii="Roboto" w:cs="Roboto" w:eastAsia="Roboto" w:hAnsi="Roboto"/>
          <w:i w:val="1"/>
          <w:color w:val="1d1d1d"/>
          <w:sz w:val="20"/>
          <w:szCs w:val="20"/>
          <w:highlight w:val="white"/>
          <w:u w:val="none"/>
        </w:rPr>
      </w:pPr>
      <w:r w:rsidDel="00000000" w:rsidR="00000000" w:rsidRPr="00000000">
        <w:rPr>
          <w:rFonts w:ascii="Roboto" w:cs="Roboto" w:eastAsia="Roboto" w:hAnsi="Roboto"/>
          <w:i w:val="1"/>
          <w:color w:val="1d1d1d"/>
          <w:sz w:val="20"/>
          <w:szCs w:val="20"/>
          <w:highlight w:val="white"/>
          <w:rtl w:val="0"/>
        </w:rPr>
        <w:t xml:space="preserve">Goldman Sachs increased its fossil fuel financing by $4.4 billion between 2018-2019.</w:t>
      </w:r>
    </w:p>
    <w:p w:rsidR="00000000" w:rsidDel="00000000" w:rsidP="00000000" w:rsidRDefault="00000000" w:rsidRPr="00000000" w14:paraId="0000000D">
      <w:pPr>
        <w:spacing w:line="240" w:lineRule="auto"/>
        <w:ind w:left="108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0E">
      <w:pPr>
        <w:numPr>
          <w:ilvl w:val="0"/>
          <w:numId w:val="8"/>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Fossil Fuel Financing Between 2016-2019</w:t>
      </w:r>
      <w:r w:rsidDel="00000000" w:rsidR="00000000" w:rsidRPr="00000000">
        <w:rPr>
          <w:rtl w:val="0"/>
        </w:rPr>
      </w:r>
    </w:p>
    <w:p w:rsidR="00000000" w:rsidDel="00000000" w:rsidP="00000000" w:rsidRDefault="00000000" w:rsidRPr="00000000" w14:paraId="0000000F">
      <w:pPr>
        <w:numPr>
          <w:ilvl w:val="1"/>
          <w:numId w:val="8"/>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$83.8 billion </w:t>
      </w:r>
    </w:p>
    <w:p w:rsidR="00000000" w:rsidDel="00000000" w:rsidP="00000000" w:rsidRDefault="00000000" w:rsidRPr="00000000" w14:paraId="00000010">
      <w:pPr>
        <w:spacing w:line="240" w:lineRule="auto"/>
        <w:ind w:left="1440" w:firstLine="0"/>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11">
      <w:pPr>
        <w:widowControl w:val="0"/>
        <w:spacing w:line="240" w:lineRule="auto"/>
        <w:rPr>
          <w:rFonts w:ascii="Roboto" w:cs="Roboto" w:eastAsia="Roboto" w:hAnsi="Roboto"/>
          <w:b w:val="1"/>
          <w:i w:val="1"/>
          <w:color w:val="262626"/>
        </w:rPr>
      </w:pPr>
      <w:r w:rsidDel="00000000" w:rsidR="00000000" w:rsidRPr="00000000">
        <w:rPr>
          <w:rFonts w:ascii="Roboto" w:cs="Roboto" w:eastAsia="Roboto" w:hAnsi="Roboto"/>
          <w:b w:val="1"/>
          <w:i w:val="1"/>
          <w:color w:val="262626"/>
          <w:rtl w:val="0"/>
        </w:rPr>
        <w:t xml:space="preserve">Between 2016-2019 Goldman Sachs financed:</w:t>
      </w:r>
    </w:p>
    <w:tbl>
      <w:tblPr>
        <w:tblStyle w:val="Table1"/>
        <w:tblW w:w="751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2760"/>
        <w:gridCol w:w="2715"/>
        <w:tblGridChange w:id="0">
          <w:tblGrid>
            <w:gridCol w:w="2040"/>
            <w:gridCol w:w="2760"/>
            <w:gridCol w:w="2715"/>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Financing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Fossil Fuel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Rank out of Top 35 Fossil Fuel Financiers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$30.7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Fossil Fuel  Expansion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16th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$579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Tar Sands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18th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$789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Arctic oil &amp; gas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15th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$6.6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Offshore oil &amp; gas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11th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$11.4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Fracked oil &amp; gas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10th </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$2.7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Liquefied Natural Gas (LNG)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10th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$1.3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Coal Mining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9th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$2.9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Coal Power Stations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16th </w:t>
            </w:r>
          </w:p>
        </w:tc>
      </w:tr>
    </w:tbl>
    <w:p w:rsidR="00000000" w:rsidDel="00000000" w:rsidP="00000000" w:rsidRDefault="00000000" w:rsidRPr="00000000" w14:paraId="0000002D">
      <w:pPr>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2E">
      <w:pPr>
        <w:numPr>
          <w:ilvl w:val="0"/>
          <w:numId w:val="6"/>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Annualized Sustainable Finance Commitments</w:t>
      </w:r>
      <w:r w:rsidDel="00000000" w:rsidR="00000000" w:rsidRPr="00000000">
        <w:rPr>
          <w:rtl w:val="0"/>
        </w:rPr>
      </w:r>
    </w:p>
    <w:p w:rsidR="00000000" w:rsidDel="00000000" w:rsidP="00000000" w:rsidRDefault="00000000" w:rsidRPr="00000000" w14:paraId="0000002F">
      <w:pPr>
        <w:numPr>
          <w:ilvl w:val="1"/>
          <w:numId w:val="6"/>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$10.7 billion </w:t>
      </w:r>
    </w:p>
    <w:p w:rsidR="00000000" w:rsidDel="00000000" w:rsidP="00000000" w:rsidRDefault="00000000" w:rsidRPr="00000000" w14:paraId="00000030">
      <w:pPr>
        <w:spacing w:after="240" w:before="240" w:lineRule="auto"/>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Leadership </w:t>
      </w:r>
    </w:p>
    <w:p w:rsidR="00000000" w:rsidDel="00000000" w:rsidP="00000000" w:rsidRDefault="00000000" w:rsidRPr="00000000" w14:paraId="00000031">
      <w:pPr>
        <w:widowControl w:val="0"/>
        <w:numPr>
          <w:ilvl w:val="0"/>
          <w:numId w:val="1"/>
        </w:numPr>
        <w:spacing w:line="240" w:lineRule="auto"/>
        <w:ind w:left="720" w:hanging="360"/>
        <w:rPr>
          <w:rFonts w:ascii="Roboto" w:cs="Roboto" w:eastAsia="Roboto" w:hAnsi="Roboto"/>
          <w:color w:val="1d1d1d"/>
          <w:sz w:val="18"/>
          <w:szCs w:val="18"/>
          <w:highlight w:val="white"/>
        </w:rPr>
      </w:pPr>
      <w:r w:rsidDel="00000000" w:rsidR="00000000" w:rsidRPr="00000000">
        <w:rPr>
          <w:rFonts w:ascii="Roboto" w:cs="Roboto" w:eastAsia="Roboto" w:hAnsi="Roboto"/>
          <w:color w:val="1d1d1d"/>
          <w:sz w:val="18"/>
          <w:szCs w:val="18"/>
          <w:highlight w:val="white"/>
          <w:rtl w:val="0"/>
        </w:rPr>
        <w:t xml:space="preserve">CEO David Solomon wrote a piece for Financial Times at the end of 2019 advocating that governments must put a price on the cost of carbon, whether through a cap and trade system, a carbon tax or other means. </w:t>
      </w:r>
      <w:r w:rsidDel="00000000" w:rsidR="00000000" w:rsidRPr="00000000">
        <w:rPr>
          <w:rtl w:val="0"/>
        </w:rPr>
      </w:r>
    </w:p>
    <w:p w:rsidR="00000000" w:rsidDel="00000000" w:rsidP="00000000" w:rsidRDefault="00000000" w:rsidRPr="00000000" w14:paraId="00000032">
      <w:pPr>
        <w:widowControl w:val="0"/>
        <w:spacing w:line="240" w:lineRule="auto"/>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33">
      <w:pPr>
        <w:widowControl w:val="0"/>
        <w:numPr>
          <w:ilvl w:val="0"/>
          <w:numId w:val="5"/>
        </w:numPr>
        <w:spacing w:line="240" w:lineRule="auto"/>
        <w:ind w:left="720" w:hanging="360"/>
        <w:rPr>
          <w:rFonts w:ascii="Roboto" w:cs="Roboto" w:eastAsia="Roboto" w:hAnsi="Roboto"/>
          <w:color w:val="1d1d1d"/>
          <w:sz w:val="18"/>
          <w:szCs w:val="18"/>
          <w:highlight w:val="white"/>
        </w:rPr>
      </w:pPr>
      <w:r w:rsidDel="00000000" w:rsidR="00000000" w:rsidRPr="00000000">
        <w:rPr>
          <w:rFonts w:ascii="Roboto" w:cs="Roboto" w:eastAsia="Roboto" w:hAnsi="Roboto"/>
          <w:color w:val="1d1d1d"/>
          <w:sz w:val="18"/>
          <w:szCs w:val="18"/>
          <w:highlight w:val="white"/>
          <w:rtl w:val="0"/>
        </w:rPr>
        <w:t xml:space="preserve">John Goldstein, head of Goldman Sachs’s Sustainable Finance Group, is largely the driving force behind its recent ESG investment choices from 2015 onward. </w:t>
      </w:r>
    </w:p>
    <w:p w:rsidR="00000000" w:rsidDel="00000000" w:rsidP="00000000" w:rsidRDefault="00000000" w:rsidRPr="00000000" w14:paraId="00000034">
      <w:pPr>
        <w:rPr>
          <w:rFonts w:ascii="Roboto" w:cs="Roboto" w:eastAsia="Roboto" w:hAnsi="Roboto"/>
          <w:color w:val="1d1d1d"/>
          <w:sz w:val="28"/>
          <w:szCs w:val="28"/>
          <w:highlight w:val="white"/>
        </w:rPr>
      </w:pPr>
      <w:r w:rsidDel="00000000" w:rsidR="00000000" w:rsidRPr="00000000">
        <w:rPr>
          <w:rtl w:val="0"/>
        </w:rPr>
      </w:r>
    </w:p>
    <w:p w:rsidR="00000000" w:rsidDel="00000000" w:rsidP="00000000" w:rsidRDefault="00000000" w:rsidRPr="00000000" w14:paraId="00000035">
      <w:pPr>
        <w:rPr>
          <w:rFonts w:ascii="Roboto" w:cs="Roboto" w:eastAsia="Roboto" w:hAnsi="Roboto"/>
          <w:color w:val="1d1d1d"/>
          <w:sz w:val="28"/>
          <w:szCs w:val="28"/>
          <w:highlight w:val="white"/>
        </w:rPr>
      </w:pPr>
      <w:r w:rsidDel="00000000" w:rsidR="00000000" w:rsidRPr="00000000">
        <w:rPr>
          <w:rFonts w:ascii="Roboto" w:cs="Roboto" w:eastAsia="Roboto" w:hAnsi="Roboto"/>
          <w:color w:val="1d1d1d"/>
          <w:sz w:val="28"/>
          <w:szCs w:val="28"/>
          <w:highlight w:val="white"/>
        </w:rPr>
        <w:drawing>
          <wp:inline distB="114300" distT="114300" distL="114300" distR="114300">
            <wp:extent cx="5943600" cy="3086100"/>
            <wp:effectExtent b="0" l="0" r="0" t="0"/>
            <wp:docPr descr="Chart" id="4" name="image1.png"/>
            <a:graphic>
              <a:graphicData uri="http://schemas.openxmlformats.org/drawingml/2006/picture">
                <pic:pic>
                  <pic:nvPicPr>
                    <pic:cNvPr descr="Chart" id="0" name="image1.png"/>
                    <pic:cNvPicPr preferRelativeResize="0"/>
                  </pic:nvPicPr>
                  <pic:blipFill>
                    <a:blip r:embed="rId8"/>
                    <a:srcRect b="0" l="0" r="0" t="0"/>
                    <a:stretch>
                      <a:fillRect/>
                    </a:stretch>
                  </pic:blipFill>
                  <pic:spPr>
                    <a:xfrm>
                      <a:off x="0" y="0"/>
                      <a:ext cx="59436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Rainforest Action Network designates policy scores based on a point system that assesses bank policies on ending financing for fossil fuel expansion and phasing out overall fossil fuel financing. Goldman Sachs received only 21.5 out of 200 possible points, demonstrating a very low score. For more detail into the scoring criteria, including for each fossil fuel subsector, visit the </w:t>
      </w:r>
      <w:hyperlink r:id="rId9">
        <w:r w:rsidDel="00000000" w:rsidR="00000000" w:rsidRPr="00000000">
          <w:rPr>
            <w:rFonts w:ascii="Roboto" w:cs="Roboto" w:eastAsia="Roboto" w:hAnsi="Roboto"/>
            <w:color w:val="1155cc"/>
            <w:sz w:val="20"/>
            <w:szCs w:val="20"/>
            <w:highlight w:val="white"/>
            <w:u w:val="single"/>
            <w:rtl w:val="0"/>
          </w:rPr>
          <w:t xml:space="preserve">Banking on Climate Change 2020 report</w:t>
        </w:r>
      </w:hyperlink>
      <w:r w:rsidDel="00000000" w:rsidR="00000000" w:rsidRPr="00000000">
        <w:rPr>
          <w:rFonts w:ascii="Roboto" w:cs="Roboto" w:eastAsia="Roboto" w:hAnsi="Roboto"/>
          <w:color w:val="1d1d1d"/>
          <w:sz w:val="20"/>
          <w:szCs w:val="20"/>
          <w:highlight w:val="white"/>
          <w:rtl w:val="0"/>
        </w:rPr>
        <w:t xml:space="preserve"> appendix. See below a fossil fuel policy score comparison of the major private US banks. </w:t>
      </w:r>
    </w:p>
    <w:p w:rsidR="00000000" w:rsidDel="00000000" w:rsidP="00000000" w:rsidRDefault="00000000" w:rsidRPr="00000000" w14:paraId="00000037">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8">
      <w:pPr>
        <w:spacing w:line="240" w:lineRule="auto"/>
        <w:rPr>
          <w:rFonts w:ascii="Roboto" w:cs="Roboto" w:eastAsia="Roboto" w:hAnsi="Roboto"/>
          <w:color w:val="1d1d1d"/>
          <w:sz w:val="20"/>
          <w:szCs w:val="20"/>
          <w:highlight w:val="white"/>
        </w:rPr>
      </w:pPr>
      <w:r w:rsidDel="00000000" w:rsidR="00000000" w:rsidRPr="00000000">
        <w:rPr>
          <w:rtl w:val="0"/>
        </w:rPr>
      </w:r>
    </w:p>
    <w:tbl>
      <w:tblPr>
        <w:tblStyle w:val="Table2"/>
        <w:tblW w:w="88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155"/>
        <w:tblGridChange w:id="0">
          <w:tblGrid>
            <w:gridCol w:w="4680"/>
            <w:gridCol w:w="4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Total Fossil Fuel Policy Score (Out of 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JPMorgan 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19.5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Wells Fargo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Bank of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Morgan Stanley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Goldman Sachs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21.5 </w:t>
            </w:r>
          </w:p>
        </w:tc>
      </w:tr>
    </w:tbl>
    <w:p w:rsidR="00000000" w:rsidDel="00000000" w:rsidP="00000000" w:rsidRDefault="00000000" w:rsidRPr="00000000" w14:paraId="00000047">
      <w:pPr>
        <w:rPr>
          <w:rFonts w:ascii="Roboto" w:cs="Roboto" w:eastAsia="Roboto" w:hAnsi="Roboto"/>
          <w:color w:val="1d1d1d"/>
          <w:sz w:val="28"/>
          <w:szCs w:val="28"/>
          <w:highlight w:val="white"/>
          <w:u w:val="single"/>
        </w:rPr>
      </w:pPr>
      <w:r w:rsidDel="00000000" w:rsidR="00000000" w:rsidRPr="00000000">
        <w:rPr>
          <w:rtl w:val="0"/>
        </w:rPr>
      </w:r>
    </w:p>
    <w:p w:rsidR="00000000" w:rsidDel="00000000" w:rsidP="00000000" w:rsidRDefault="00000000" w:rsidRPr="00000000" w14:paraId="00000048">
      <w:pPr>
        <w:rPr>
          <w:rFonts w:ascii="Roboto" w:cs="Roboto" w:eastAsia="Roboto" w:hAnsi="Roboto"/>
          <w:color w:val="1d1d1d"/>
          <w:highlight w:val="white"/>
        </w:rPr>
      </w:pPr>
      <w:r w:rsidDel="00000000" w:rsidR="00000000" w:rsidRPr="00000000">
        <w:rPr>
          <w:rFonts w:ascii="Roboto" w:cs="Roboto" w:eastAsia="Roboto" w:hAnsi="Roboto"/>
          <w:b w:val="1"/>
          <w:color w:val="1d1d1d"/>
          <w:sz w:val="28"/>
          <w:szCs w:val="28"/>
          <w:highlight w:val="white"/>
          <w:u w:val="single"/>
          <w:rtl w:val="0"/>
        </w:rPr>
        <w:t xml:space="preserve">Fossil Fuel Policies</w:t>
      </w:r>
      <w:r w:rsidDel="00000000" w:rsidR="00000000" w:rsidRPr="00000000">
        <w:rPr>
          <w:rtl w:val="0"/>
        </w:rPr>
      </w:r>
    </w:p>
    <w:p w:rsidR="00000000" w:rsidDel="00000000" w:rsidP="00000000" w:rsidRDefault="00000000" w:rsidRPr="00000000" w14:paraId="00000049">
      <w:pPr>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4A">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rtl w:val="0"/>
        </w:rPr>
        <w:t xml:space="preserve">Goldman Sachs updated its fossil fuels policies in December 2019, as of this update:</w:t>
      </w:r>
      <w:r w:rsidDel="00000000" w:rsidR="00000000" w:rsidRPr="00000000">
        <w:rPr>
          <w:rtl w:val="0"/>
        </w:rPr>
      </w:r>
    </w:p>
    <w:p w:rsidR="00000000" w:rsidDel="00000000" w:rsidP="00000000" w:rsidRDefault="00000000" w:rsidRPr="00000000" w14:paraId="0000004B">
      <w:pPr>
        <w:rPr>
          <w:rFonts w:ascii="Roboto" w:cs="Roboto" w:eastAsia="Roboto" w:hAnsi="Roboto"/>
          <w:color w:val="1d1d1d"/>
          <w:highlight w:val="white"/>
          <w:u w:val="single"/>
        </w:rPr>
      </w:pPr>
      <w:r w:rsidDel="00000000" w:rsidR="00000000" w:rsidRPr="00000000">
        <w:rPr>
          <w:rtl w:val="0"/>
        </w:rPr>
      </w:r>
    </w:p>
    <w:p w:rsidR="00000000" w:rsidDel="00000000" w:rsidP="00000000" w:rsidRDefault="00000000" w:rsidRPr="00000000" w14:paraId="0000004C">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Oil &amp; Gas </w:t>
      </w:r>
    </w:p>
    <w:p w:rsidR="00000000" w:rsidDel="00000000" w:rsidP="00000000" w:rsidRDefault="00000000" w:rsidRPr="00000000" w14:paraId="0000004D">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rtl w:val="0"/>
        </w:rPr>
        <w:t xml:space="preserve">Goldman Sachs was the first major U.S. bank to establish explicit limits on financing for the oil and gas sector. However, </w:t>
      </w:r>
      <w:hyperlink r:id="rId10">
        <w:r w:rsidDel="00000000" w:rsidR="00000000" w:rsidRPr="00000000">
          <w:rPr>
            <w:rFonts w:ascii="Roboto" w:cs="Roboto" w:eastAsia="Roboto" w:hAnsi="Roboto"/>
            <w:color w:val="1155cc"/>
            <w:highlight w:val="white"/>
            <w:u w:val="single"/>
            <w:rtl w:val="0"/>
          </w:rPr>
          <w:t xml:space="preserve">it has not banned</w:t>
        </w:r>
      </w:hyperlink>
      <w:r w:rsidDel="00000000" w:rsidR="00000000" w:rsidRPr="00000000">
        <w:rPr>
          <w:rFonts w:ascii="Roboto" w:cs="Roboto" w:eastAsia="Roboto" w:hAnsi="Roboto"/>
          <w:color w:val="1d1d1d"/>
          <w:highlight w:val="white"/>
          <w:rtl w:val="0"/>
        </w:rPr>
        <w:t xml:space="preserve"> the financing of hydraulic fracturing and oil sands. </w:t>
      </w:r>
      <w:r w:rsidDel="00000000" w:rsidR="00000000" w:rsidRPr="00000000">
        <w:rPr>
          <w:rtl w:val="0"/>
        </w:rPr>
      </w:r>
    </w:p>
    <w:p w:rsidR="00000000" w:rsidDel="00000000" w:rsidP="00000000" w:rsidRDefault="00000000" w:rsidRPr="00000000" w14:paraId="0000004E">
      <w:pPr>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4F">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Coal</w:t>
      </w:r>
    </w:p>
    <w:p w:rsidR="00000000" w:rsidDel="00000000" w:rsidP="00000000" w:rsidRDefault="00000000" w:rsidRPr="00000000" w14:paraId="00000050">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rtl w:val="0"/>
        </w:rPr>
        <w:t xml:space="preserve">Goldman Sachs has ruled out direct finance for new or expanding thermal coal mines and coal-fired power plant projects worldwide. The bank has also committed to a phase-out of financing for significant thermal coal mining companies that do not have a diversification strategy.</w:t>
      </w:r>
      <w:r w:rsidDel="00000000" w:rsidR="00000000" w:rsidRPr="00000000">
        <w:rPr>
          <w:rtl w:val="0"/>
        </w:rPr>
      </w:r>
    </w:p>
    <w:p w:rsidR="00000000" w:rsidDel="00000000" w:rsidP="00000000" w:rsidRDefault="00000000" w:rsidRPr="00000000" w14:paraId="00000051">
      <w:pPr>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52">
      <w:pPr>
        <w:rPr>
          <w:rFonts w:ascii="Roboto" w:cs="Roboto" w:eastAsia="Roboto" w:hAnsi="Roboto"/>
          <w:color w:val="1d1d1d"/>
          <w:highlight w:val="white"/>
        </w:rPr>
      </w:pPr>
      <w:r w:rsidDel="00000000" w:rsidR="00000000" w:rsidRPr="00000000">
        <w:rPr>
          <w:rFonts w:ascii="Roboto" w:cs="Roboto" w:eastAsia="Roboto" w:hAnsi="Roboto"/>
          <w:color w:val="1d1d1d"/>
          <w:highlight w:val="white"/>
          <w:u w:val="single"/>
          <w:rtl w:val="0"/>
        </w:rPr>
        <w:t xml:space="preserve">Arctic Region</w:t>
      </w:r>
      <w:r w:rsidDel="00000000" w:rsidR="00000000" w:rsidRPr="00000000">
        <w:rPr>
          <w:rFonts w:ascii="Roboto" w:cs="Roboto" w:eastAsia="Roboto" w:hAnsi="Roboto"/>
          <w:color w:val="1d1d1d"/>
          <w:highlight w:val="white"/>
          <w:rtl w:val="0"/>
        </w:rPr>
        <w:t xml:space="preserve">  </w:t>
      </w:r>
    </w:p>
    <w:p w:rsidR="00000000" w:rsidDel="00000000" w:rsidP="00000000" w:rsidRDefault="00000000" w:rsidRPr="00000000" w14:paraId="00000053">
      <w:pPr>
        <w:rPr>
          <w:rFonts w:ascii="Roboto" w:cs="Roboto" w:eastAsia="Roboto" w:hAnsi="Roboto"/>
          <w:color w:val="1d1d1d"/>
          <w:highlight w:val="white"/>
        </w:rPr>
      </w:pPr>
      <w:r w:rsidDel="00000000" w:rsidR="00000000" w:rsidRPr="00000000">
        <w:rPr>
          <w:rFonts w:ascii="Roboto" w:cs="Roboto" w:eastAsia="Roboto" w:hAnsi="Roboto"/>
          <w:color w:val="1d1d1d"/>
          <w:highlight w:val="white"/>
          <w:rtl w:val="0"/>
        </w:rPr>
        <w:t xml:space="preserve">Goldman Sachs </w:t>
      </w:r>
      <w:hyperlink r:id="rId11">
        <w:r w:rsidDel="00000000" w:rsidR="00000000" w:rsidRPr="00000000">
          <w:rPr>
            <w:rFonts w:ascii="Roboto" w:cs="Roboto" w:eastAsia="Roboto" w:hAnsi="Roboto"/>
            <w:color w:val="1155cc"/>
            <w:highlight w:val="white"/>
            <w:u w:val="single"/>
            <w:rtl w:val="0"/>
          </w:rPr>
          <w:t xml:space="preserve">released an updated environmental policy framework </w:t>
        </w:r>
      </w:hyperlink>
      <w:r w:rsidDel="00000000" w:rsidR="00000000" w:rsidRPr="00000000">
        <w:rPr>
          <w:rFonts w:ascii="Roboto" w:cs="Roboto" w:eastAsia="Roboto" w:hAnsi="Roboto"/>
          <w:color w:val="1d1d1d"/>
          <w:highlight w:val="white"/>
          <w:rtl w:val="0"/>
        </w:rPr>
        <w:t xml:space="preserve">declining any financing transaction that directly supports new upstream Arctic oil exploration or development, including but not limited to new work in the Alaskan refuge. The policy makes explicit mention of protecting the Arctic National Wildlife Refuge. This made Goldman Sachs the first major U.S. bank to prohibit financing for Arctic oil drilling. </w:t>
      </w:r>
    </w:p>
    <w:p w:rsidR="00000000" w:rsidDel="00000000" w:rsidP="00000000" w:rsidRDefault="00000000" w:rsidRPr="00000000" w14:paraId="00000054">
      <w:pPr>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55">
      <w:pPr>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Measure - Disclose - Reduce</w:t>
      </w:r>
    </w:p>
    <w:p w:rsidR="00000000" w:rsidDel="00000000" w:rsidP="00000000" w:rsidRDefault="00000000" w:rsidRPr="00000000" w14:paraId="00000056">
      <w:pPr>
        <w:widowControl w:val="0"/>
        <w:spacing w:line="240" w:lineRule="auto"/>
        <w:rPr>
          <w:rFonts w:ascii="Roboto" w:cs="Roboto" w:eastAsia="Roboto" w:hAnsi="Roboto"/>
          <w:color w:val="1d1d1d"/>
          <w:sz w:val="28"/>
          <w:szCs w:val="28"/>
          <w:highlight w:val="white"/>
          <w:u w:val="single"/>
        </w:rPr>
      </w:pPr>
      <w:r w:rsidDel="00000000" w:rsidR="00000000" w:rsidRPr="00000000">
        <w:rPr>
          <w:rFonts w:ascii="Roboto" w:cs="Roboto" w:eastAsia="Roboto" w:hAnsi="Roboto"/>
          <w:color w:val="262626"/>
          <w:rtl w:val="0"/>
        </w:rPr>
        <w:t xml:space="preserve">In September 2018, Goldman Sachs signed on to the </w:t>
      </w:r>
      <w:hyperlink r:id="rId12">
        <w:r w:rsidDel="00000000" w:rsidR="00000000" w:rsidRPr="00000000">
          <w:rPr>
            <w:rFonts w:ascii="Roboto" w:cs="Roboto" w:eastAsia="Roboto" w:hAnsi="Roboto"/>
            <w:color w:val="1155cc"/>
            <w:u w:val="single"/>
            <w:rtl w:val="0"/>
          </w:rPr>
          <w:t xml:space="preserve">Task Force on Climate Related Financial Disclosures</w:t>
        </w:r>
      </w:hyperlink>
      <w:r w:rsidDel="00000000" w:rsidR="00000000" w:rsidRPr="00000000">
        <w:rPr>
          <w:rFonts w:ascii="Roboto" w:cs="Roboto" w:eastAsia="Roboto" w:hAnsi="Roboto"/>
          <w:color w:val="262626"/>
          <w:rtl w:val="0"/>
        </w:rPr>
        <w:t xml:space="preserve">, a set of consistent and coherent principles for voluntary climate-related financial risk disclosures that provide information to investors, lenders, insurers, and other stakeholders.</w:t>
      </w:r>
      <w:r w:rsidDel="00000000" w:rsidR="00000000" w:rsidRPr="00000000">
        <w:rPr>
          <w:rtl w:val="0"/>
        </w:rPr>
      </w:r>
    </w:p>
    <w:p w:rsidR="00000000" w:rsidDel="00000000" w:rsidP="00000000" w:rsidRDefault="00000000" w:rsidRPr="00000000" w14:paraId="00000057">
      <w:pPr>
        <w:rPr>
          <w:rFonts w:ascii="Roboto" w:cs="Roboto" w:eastAsia="Roboto" w:hAnsi="Roboto"/>
          <w:color w:val="1d1d1d"/>
          <w:sz w:val="28"/>
          <w:szCs w:val="28"/>
          <w:highlight w:val="white"/>
          <w:u w:val="single"/>
        </w:rPr>
      </w:pPr>
      <w:r w:rsidDel="00000000" w:rsidR="00000000" w:rsidRPr="00000000">
        <w:rPr>
          <w:rtl w:val="0"/>
        </w:rPr>
      </w:r>
    </w:p>
    <w:p w:rsidR="00000000" w:rsidDel="00000000" w:rsidP="00000000" w:rsidRDefault="00000000" w:rsidRPr="00000000" w14:paraId="00000058">
      <w:pPr>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Recent Low-Carbon Announcements </w:t>
      </w:r>
    </w:p>
    <w:p w:rsidR="00000000" w:rsidDel="00000000" w:rsidP="00000000" w:rsidRDefault="00000000" w:rsidRPr="00000000" w14:paraId="00000059">
      <w:pPr>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5A">
      <w:pPr>
        <w:numPr>
          <w:ilvl w:val="0"/>
          <w:numId w:val="3"/>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Goldman Sachs  announced that it will expand its clean energy target to $150 billion in financing and investment by 2025 as part of its updated Environmental Policy Framework. </w:t>
      </w:r>
      <w:r w:rsidDel="00000000" w:rsidR="00000000" w:rsidRPr="00000000">
        <w:rPr>
          <w:rtl w:val="0"/>
        </w:rPr>
      </w:r>
    </w:p>
    <w:p w:rsidR="00000000" w:rsidDel="00000000" w:rsidP="00000000" w:rsidRDefault="00000000" w:rsidRPr="00000000" w14:paraId="0000005B">
      <w:pPr>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In April 2020 Goldman Sachs said it had created a council of traders, sales staff, and others to share expertise on sustainable finance and investing as clients search for ways to achieve climate-change investment commitments, known as the Global Markets Division Sustainable Solutions Council. </w:t>
      </w:r>
      <w:r w:rsidDel="00000000" w:rsidR="00000000" w:rsidRPr="00000000">
        <w:rPr>
          <w:rtl w:val="0"/>
        </w:rPr>
      </w:r>
    </w:p>
    <w:p w:rsidR="00000000" w:rsidDel="00000000" w:rsidP="00000000" w:rsidRDefault="00000000" w:rsidRPr="00000000" w14:paraId="0000005D">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5E">
      <w:pPr>
        <w:numPr>
          <w:ilvl w:val="0"/>
          <w:numId w:val="7"/>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Working with Enel, an Italian-headquartered energy company, Goldman Sachs structured the first sustainability performance bond linked to the United Nations’ Sustainable Development Goals (SDGs) for $1.5 billion in September 2019. Rather than restrict the use of proceeds to specific green projects, the bond ties Enel’s cost of capital to its strategic commitment to make installed capacity 55% renewable by the end of 2021. </w:t>
      </w:r>
    </w:p>
    <w:p w:rsidR="00000000" w:rsidDel="00000000" w:rsidP="00000000" w:rsidRDefault="00000000" w:rsidRPr="00000000" w14:paraId="0000005F">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60">
      <w:pPr>
        <w:rPr>
          <w:rFonts w:ascii="Roboto" w:cs="Roboto" w:eastAsia="Roboto" w:hAnsi="Roboto"/>
          <w:color w:val="03123d"/>
          <w:sz w:val="18"/>
          <w:szCs w:val="18"/>
        </w:rPr>
      </w:pPr>
      <w:r w:rsidDel="00000000" w:rsidR="00000000" w:rsidRPr="00000000">
        <w:rPr>
          <w:rFonts w:ascii="Roboto" w:cs="Roboto" w:eastAsia="Roboto" w:hAnsi="Roboto"/>
          <w:b w:val="1"/>
          <w:color w:val="1d1d1d"/>
          <w:sz w:val="20"/>
          <w:szCs w:val="20"/>
          <w:highlight w:val="white"/>
          <w:rtl w:val="0"/>
        </w:rPr>
        <w:t xml:space="preserve">Read Goldman Sachs 2019 Sustainability Report here: </w:t>
      </w:r>
      <w:hyperlink r:id="rId13">
        <w:r w:rsidDel="00000000" w:rsidR="00000000" w:rsidRPr="00000000">
          <w:rPr>
            <w:rFonts w:ascii="Roboto" w:cs="Roboto" w:eastAsia="Roboto" w:hAnsi="Roboto"/>
            <w:color w:val="1155cc"/>
            <w:sz w:val="20"/>
            <w:szCs w:val="20"/>
            <w:highlight w:val="white"/>
            <w:u w:val="single"/>
            <w:rtl w:val="0"/>
          </w:rPr>
          <w:t xml:space="preserve">https://www.goldmansachs.com/what-we-do/sustainable-finance/documents/reports/2019-sustainability-report.pdf</w:t>
        </w:r>
      </w:hyperlink>
      <w:r w:rsidDel="00000000" w:rsidR="00000000" w:rsidRPr="00000000">
        <w:rPr>
          <w:rtl w:val="0"/>
        </w:rPr>
      </w:r>
    </w:p>
    <w:p w:rsidR="00000000" w:rsidDel="00000000" w:rsidP="00000000" w:rsidRDefault="00000000" w:rsidRPr="00000000" w14:paraId="00000061">
      <w:pPr>
        <w:rPr>
          <w:rFonts w:ascii="Roboto" w:cs="Roboto" w:eastAsia="Roboto" w:hAnsi="Roboto"/>
          <w:color w:val="03123d"/>
          <w:sz w:val="18"/>
          <w:szCs w:val="18"/>
        </w:rPr>
      </w:pPr>
      <w:r w:rsidDel="00000000" w:rsidR="00000000" w:rsidRPr="00000000">
        <w:rPr>
          <w:rtl w:val="0"/>
        </w:rPr>
      </w:r>
    </w:p>
    <w:p w:rsidR="00000000" w:rsidDel="00000000" w:rsidP="00000000" w:rsidRDefault="00000000" w:rsidRPr="00000000" w14:paraId="00000062">
      <w:pPr>
        <w:rPr>
          <w:rFonts w:ascii="Roboto" w:cs="Roboto" w:eastAsia="Roboto" w:hAnsi="Roboto"/>
          <w:color w:val="03123d"/>
          <w:sz w:val="18"/>
          <w:szCs w:val="18"/>
        </w:rPr>
      </w:pPr>
      <w:r w:rsidDel="00000000" w:rsidR="00000000" w:rsidRPr="00000000">
        <w:rPr>
          <w:rtl w:val="0"/>
        </w:rPr>
      </w:r>
    </w:p>
    <w:p w:rsidR="00000000" w:rsidDel="00000000" w:rsidP="00000000" w:rsidRDefault="00000000" w:rsidRPr="00000000" w14:paraId="00000063">
      <w:pPr>
        <w:rPr>
          <w:rFonts w:ascii="Roboto" w:cs="Roboto" w:eastAsia="Roboto" w:hAnsi="Roboto"/>
          <w:color w:val="03123d"/>
          <w:sz w:val="18"/>
          <w:szCs w:val="18"/>
        </w:rPr>
      </w:pPr>
      <w:r w:rsidDel="00000000" w:rsidR="00000000" w:rsidRPr="00000000">
        <w:rPr>
          <w:rtl w:val="0"/>
        </w:rPr>
      </w:r>
    </w:p>
    <w:p w:rsidR="00000000" w:rsidDel="00000000" w:rsidP="00000000" w:rsidRDefault="00000000" w:rsidRPr="00000000" w14:paraId="00000064">
      <w:pPr>
        <w:rPr>
          <w:rFonts w:ascii="Roboto" w:cs="Roboto" w:eastAsia="Roboto" w:hAnsi="Roboto"/>
          <w:color w:val="03123d"/>
          <w:sz w:val="18"/>
          <w:szCs w:val="18"/>
        </w:rPr>
      </w:pPr>
      <w:r w:rsidDel="00000000" w:rsidR="00000000" w:rsidRPr="00000000">
        <w:rPr>
          <w:rtl w:val="0"/>
        </w:rPr>
      </w:r>
    </w:p>
    <w:p w:rsidR="00000000" w:rsidDel="00000000" w:rsidP="00000000" w:rsidRDefault="00000000" w:rsidRPr="00000000" w14:paraId="00000065">
      <w:pPr>
        <w:spacing w:line="240" w:lineRule="auto"/>
        <w:rPr>
          <w:rFonts w:ascii="Lato Black" w:cs="Lato Black" w:eastAsia="Lato Black" w:hAnsi="Lato Black"/>
          <w:color w:val="03123d"/>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spacing w:line="240" w:lineRule="auto"/>
        <w:jc w:val="center"/>
        <w:rPr>
          <w:rFonts w:ascii="Roboto Light" w:cs="Roboto Light" w:eastAsia="Roboto Light" w:hAnsi="Roboto Light"/>
          <w:sz w:val="18"/>
          <w:szCs w:val="18"/>
        </w:rPr>
      </w:pPr>
      <w:r w:rsidDel="00000000" w:rsidR="00000000" w:rsidRPr="00000000">
        <w:rPr>
          <w:rFonts w:ascii="Lato Black" w:cs="Lato Black" w:eastAsia="Lato Black" w:hAnsi="Lato Black"/>
          <w:color w:val="03123d"/>
          <w:rtl w:val="0"/>
        </w:rPr>
        <w:t xml:space="preserve">Website |</w:t>
      </w:r>
      <w:r w:rsidDel="00000000" w:rsidR="00000000" w:rsidRPr="00000000">
        <w:rPr>
          <w:rFonts w:ascii="Lato Black" w:cs="Lato Black" w:eastAsia="Lato Black" w:hAnsi="Lato Black"/>
          <w:sz w:val="23"/>
          <w:szCs w:val="23"/>
          <w:rtl w:val="0"/>
        </w:rPr>
        <w:t xml:space="preserve"> </w:t>
      </w:r>
      <w:hyperlink r:id="rId14">
        <w:r w:rsidDel="00000000" w:rsidR="00000000" w:rsidRPr="00000000">
          <w:rPr>
            <w:rFonts w:ascii="Roboto Light" w:cs="Roboto Light" w:eastAsia="Roboto Light" w:hAnsi="Roboto Light"/>
            <w:color w:val="1155cc"/>
            <w:sz w:val="18"/>
            <w:szCs w:val="18"/>
            <w:u w:val="single"/>
            <w:rtl w:val="0"/>
          </w:rPr>
          <w:t xml:space="preserve">bank-fwd.org</w:t>
        </w:r>
      </w:hyperlink>
      <w:r w:rsidDel="00000000" w:rsidR="00000000" w:rsidRPr="00000000">
        <w:rPr>
          <w:rtl w:val="0"/>
        </w:rPr>
      </w:r>
    </w:p>
    <w:p w:rsidR="00000000" w:rsidDel="00000000" w:rsidP="00000000" w:rsidRDefault="00000000" w:rsidRPr="00000000" w14:paraId="00000067">
      <w:pPr>
        <w:spacing w:line="240" w:lineRule="auto"/>
        <w:jc w:val="center"/>
        <w:rPr/>
      </w:pPr>
      <w:r w:rsidDel="00000000" w:rsidR="00000000" w:rsidRPr="00000000">
        <w:rPr>
          <w:rFonts w:ascii="Lato Black" w:cs="Lato Black" w:eastAsia="Lato Black" w:hAnsi="Lato Black"/>
          <w:color w:val="03123d"/>
          <w:rtl w:val="0"/>
        </w:rPr>
        <w:t xml:space="preserve">Email |</w:t>
      </w:r>
      <w:r w:rsidDel="00000000" w:rsidR="00000000" w:rsidRPr="00000000">
        <w:rPr>
          <w:rFonts w:ascii="Roboto Light" w:cs="Roboto Light" w:eastAsia="Roboto Light" w:hAnsi="Roboto Light"/>
          <w:sz w:val="23"/>
          <w:szCs w:val="23"/>
          <w:rtl w:val="0"/>
        </w:rPr>
        <w:t xml:space="preserve"> </w:t>
      </w:r>
      <w:hyperlink r:id="rId15">
        <w:r w:rsidDel="00000000" w:rsidR="00000000" w:rsidRPr="00000000">
          <w:rPr>
            <w:rFonts w:ascii="Roboto Light" w:cs="Roboto Light" w:eastAsia="Roboto Light" w:hAnsi="Roboto Light"/>
            <w:color w:val="1155cc"/>
            <w:sz w:val="18"/>
            <w:szCs w:val="18"/>
            <w:u w:val="single"/>
            <w:rtl w:val="0"/>
          </w:rPr>
          <w:t xml:space="preserve">info@bank-fwd.org</w:t>
        </w:r>
      </w:hyperlink>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 w:name="Robo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pPr>
    <w:r w:rsidDel="00000000" w:rsidR="00000000" w:rsidRPr="00000000">
      <w:rPr>
        <w:rtl w:val="0"/>
      </w:rPr>
      <w:t xml:space="preserve">Last Updated: 09/19/2020</w:t>
    </w:r>
  </w:p>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bc.ca/news/canada/north/goldman-sachs-arctic-drilling-1.5398732" TargetMode="External"/><Relationship Id="rId10" Type="http://schemas.openxmlformats.org/officeDocument/2006/relationships/hyperlink" Target="https://www.goldmansachs.com/citizenship/environmental-stewardship/epf-pdf.pdf" TargetMode="External"/><Relationship Id="rId13" Type="http://schemas.openxmlformats.org/officeDocument/2006/relationships/hyperlink" Target="https://www.goldmansachs.com/what-we-do/sustainable-finance/documents/reports/2019-sustainability-report.pdf" TargetMode="External"/><Relationship Id="rId12" Type="http://schemas.openxmlformats.org/officeDocument/2006/relationships/hyperlink" Target="https://www.fsb-tcfd.org/tcfd-suppor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n.org/bankingonclimatechange2020/" TargetMode="External"/><Relationship Id="rId15" Type="http://schemas.openxmlformats.org/officeDocument/2006/relationships/hyperlink" Target="mailto:info@bank-fwd.org" TargetMode="External"/><Relationship Id="rId14" Type="http://schemas.openxmlformats.org/officeDocument/2006/relationships/hyperlink" Target="https://www.bank-fwd.or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RobotoLight-boldItalic.ttf"/><Relationship Id="rId9" Type="http://schemas.openxmlformats.org/officeDocument/2006/relationships/font" Target="fonts/RobotoLight-italic.ttf"/><Relationship Id="rId5" Type="http://schemas.openxmlformats.org/officeDocument/2006/relationships/font" Target="fonts/LatoBlack-bold.ttf"/><Relationship Id="rId6" Type="http://schemas.openxmlformats.org/officeDocument/2006/relationships/font" Target="fonts/LatoBlack-boldItalic.ttf"/><Relationship Id="rId7" Type="http://schemas.openxmlformats.org/officeDocument/2006/relationships/font" Target="fonts/RobotoLight-regular.ttf"/><Relationship Id="rId8" Type="http://schemas.openxmlformats.org/officeDocument/2006/relationships/font" Target="fonts/Roboto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a+FLIMidIGaiXJaHyMH6JUacA==">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