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4357688" cy="747232"/>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357688" cy="74723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Lato Black" w:cs="Lato Black" w:eastAsia="Lato Black" w:hAnsi="Lato Black"/>
          <w:color w:val="03123d"/>
          <w:sz w:val="36"/>
          <w:szCs w:val="36"/>
        </w:rPr>
      </w:pPr>
      <w:r w:rsidDel="00000000" w:rsidR="00000000" w:rsidRPr="00000000">
        <w:rPr>
          <w:rFonts w:ascii="Lato Black" w:cs="Lato Black" w:eastAsia="Lato Black" w:hAnsi="Lato Black"/>
          <w:color w:val="03123d"/>
          <w:sz w:val="36"/>
          <w:szCs w:val="36"/>
          <w:rtl w:val="0"/>
        </w:rPr>
        <w:t xml:space="preserve">JP Morgan Chase Fact Sheet</w:t>
      </w:r>
    </w:p>
    <w:p w:rsidR="00000000" w:rsidDel="00000000" w:rsidP="00000000" w:rsidRDefault="00000000" w:rsidRPr="00000000" w14:paraId="00000004">
      <w:pPr>
        <w:spacing w:line="240" w:lineRule="auto"/>
        <w:jc w:val="center"/>
        <w:rPr>
          <w:rFonts w:ascii="Trebuchet MS" w:cs="Trebuchet MS" w:eastAsia="Trebuchet MS" w:hAnsi="Trebuchet MS"/>
          <w:b w:val="1"/>
          <w:color w:val="1d1d1d"/>
          <w:sz w:val="28"/>
          <w:szCs w:val="28"/>
          <w:highlight w:val="white"/>
        </w:rPr>
      </w:pPr>
      <w:r w:rsidDel="00000000" w:rsidR="00000000" w:rsidRPr="00000000">
        <w:rPr>
          <w:rFonts w:ascii="Lato Black" w:cs="Lato Black" w:eastAsia="Lato Black" w:hAnsi="Lato Black"/>
          <w:color w:val="03123d"/>
          <w:rtl w:val="0"/>
        </w:rPr>
        <w:t xml:space="preserve">          </w:t>
      </w:r>
      <w:r w:rsidDel="00000000" w:rsidR="00000000" w:rsidRPr="00000000">
        <w:rPr>
          <w:rtl w:val="0"/>
        </w:rPr>
      </w:r>
    </w:p>
    <w:p w:rsidR="00000000" w:rsidDel="00000000" w:rsidP="00000000" w:rsidRDefault="00000000" w:rsidRPr="00000000" w14:paraId="00000005">
      <w:pPr>
        <w:rPr>
          <w:rFonts w:ascii="Trebuchet MS" w:cs="Trebuchet MS" w:eastAsia="Trebuchet MS" w:hAnsi="Trebuchet MS"/>
          <w:color w:val="1d1d1d"/>
          <w:sz w:val="18"/>
          <w:szCs w:val="18"/>
          <w:highlight w:val="white"/>
        </w:rPr>
      </w:pPr>
      <w:r w:rsidDel="00000000" w:rsidR="00000000" w:rsidRPr="00000000">
        <w:rPr>
          <w:rtl w:val="0"/>
        </w:rPr>
      </w:r>
    </w:p>
    <w:p w:rsidR="00000000" w:rsidDel="00000000" w:rsidP="00000000" w:rsidRDefault="00000000" w:rsidRPr="00000000" w14:paraId="00000006">
      <w:pPr>
        <w:widowControl w:val="0"/>
        <w:spacing w:line="240" w:lineRule="auto"/>
        <w:rPr>
          <w:rFonts w:ascii="Roboto" w:cs="Roboto" w:eastAsia="Roboto" w:hAnsi="Roboto"/>
          <w:color w:val="1d1d1d"/>
          <w:sz w:val="28"/>
          <w:szCs w:val="28"/>
          <w:highlight w:val="white"/>
        </w:rPr>
      </w:pPr>
      <w:r w:rsidDel="00000000" w:rsidR="00000000" w:rsidRPr="00000000">
        <w:rPr>
          <w:rFonts w:ascii="Roboto" w:cs="Roboto" w:eastAsia="Roboto" w:hAnsi="Roboto"/>
          <w:b w:val="1"/>
          <w:color w:val="262626"/>
          <w:sz w:val="28"/>
          <w:szCs w:val="28"/>
          <w:u w:val="single"/>
          <w:rtl w:val="0"/>
        </w:rPr>
        <w:t xml:space="preserve">Quick Facts &amp; Talking Points</w:t>
      </w:r>
      <w:r w:rsidDel="00000000" w:rsidR="00000000" w:rsidRPr="00000000">
        <w:rPr>
          <w:rtl w:val="0"/>
        </w:rPr>
      </w:r>
    </w:p>
    <w:p w:rsidR="00000000" w:rsidDel="00000000" w:rsidP="00000000" w:rsidRDefault="00000000" w:rsidRPr="00000000" w14:paraId="00000007">
      <w:pPr>
        <w:spacing w:line="240" w:lineRule="auto"/>
        <w:rPr>
          <w:rFonts w:ascii="Roboto" w:cs="Roboto" w:eastAsia="Roboto" w:hAnsi="Roboto"/>
          <w:i w:val="1"/>
          <w:color w:val="1d1d1d"/>
          <w:sz w:val="20"/>
          <w:szCs w:val="20"/>
          <w:highlight w:val="white"/>
        </w:rPr>
      </w:pPr>
      <w:r w:rsidDel="00000000" w:rsidR="00000000" w:rsidRPr="00000000">
        <w:rPr>
          <w:rtl w:val="0"/>
        </w:rPr>
      </w:r>
    </w:p>
    <w:p w:rsidR="00000000" w:rsidDel="00000000" w:rsidP="00000000" w:rsidRDefault="00000000" w:rsidRPr="00000000" w14:paraId="00000008">
      <w:pPr>
        <w:numPr>
          <w:ilvl w:val="0"/>
          <w:numId w:val="11"/>
        </w:numPr>
        <w:spacing w:line="240" w:lineRule="auto"/>
        <w:ind w:left="720" w:hanging="360"/>
        <w:rPr>
          <w:rFonts w:ascii="Roboto" w:cs="Roboto" w:eastAsia="Roboto" w:hAnsi="Roboto"/>
          <w:i w:val="1"/>
          <w:color w:val="1d1d1d"/>
          <w:sz w:val="20"/>
          <w:szCs w:val="20"/>
          <w:highlight w:val="white"/>
        </w:rPr>
      </w:pPr>
      <w:r w:rsidDel="00000000" w:rsidR="00000000" w:rsidRPr="00000000">
        <w:rPr>
          <w:rFonts w:ascii="Roboto" w:cs="Roboto" w:eastAsia="Roboto" w:hAnsi="Roboto"/>
          <w:i w:val="1"/>
          <w:color w:val="1d1d1d"/>
          <w:sz w:val="20"/>
          <w:szCs w:val="20"/>
          <w:highlight w:val="white"/>
          <w:rtl w:val="0"/>
        </w:rPr>
        <w:t xml:space="preserve">Ranks #1 on the Dirty Dozen list</w:t>
      </w:r>
      <w:r w:rsidDel="00000000" w:rsidR="00000000" w:rsidRPr="00000000">
        <w:rPr>
          <w:rFonts w:ascii="Roboto" w:cs="Roboto" w:eastAsia="Roboto" w:hAnsi="Roboto"/>
          <w:i w:val="1"/>
          <w:color w:val="1d1d1d"/>
          <w:sz w:val="20"/>
          <w:szCs w:val="20"/>
          <w:highlight w:val="white"/>
          <w:vertAlign w:val="superscript"/>
        </w:rPr>
        <w:footnoteReference w:customMarkFollows="0" w:id="0"/>
      </w:r>
      <w:r w:rsidDel="00000000" w:rsidR="00000000" w:rsidRPr="00000000">
        <w:rPr>
          <w:rFonts w:ascii="Roboto" w:cs="Roboto" w:eastAsia="Roboto" w:hAnsi="Roboto"/>
          <w:i w:val="1"/>
          <w:color w:val="1d1d1d"/>
          <w:sz w:val="20"/>
          <w:szCs w:val="20"/>
          <w:highlight w:val="white"/>
          <w:rtl w:val="0"/>
        </w:rPr>
        <w:t xml:space="preserve"> </w:t>
      </w:r>
    </w:p>
    <w:p w:rsidR="00000000" w:rsidDel="00000000" w:rsidP="00000000" w:rsidRDefault="00000000" w:rsidRPr="00000000" w14:paraId="00000009">
      <w:pPr>
        <w:spacing w:line="240" w:lineRule="auto"/>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0A">
      <w:pPr>
        <w:numPr>
          <w:ilvl w:val="0"/>
          <w:numId w:val="12"/>
        </w:numPr>
        <w:spacing w:line="240" w:lineRule="auto"/>
        <w:ind w:left="720" w:hanging="360"/>
        <w:rPr>
          <w:rFonts w:ascii="Roboto" w:cs="Roboto" w:eastAsia="Roboto" w:hAnsi="Roboto"/>
          <w:color w:val="1d1d1d"/>
          <w:sz w:val="20"/>
          <w:szCs w:val="20"/>
          <w:highlight w:val="white"/>
        </w:rPr>
      </w:pPr>
      <w:r w:rsidDel="00000000" w:rsidR="00000000" w:rsidRPr="00000000">
        <w:rPr>
          <w:rFonts w:ascii="Roboto" w:cs="Roboto" w:eastAsia="Roboto" w:hAnsi="Roboto"/>
          <w:i w:val="1"/>
          <w:color w:val="1d1d1d"/>
          <w:sz w:val="20"/>
          <w:szCs w:val="20"/>
          <w:highlight w:val="white"/>
          <w:rtl w:val="0"/>
        </w:rPr>
        <w:t xml:space="preserve">Total Assets 2019</w:t>
      </w:r>
      <w:r w:rsidDel="00000000" w:rsidR="00000000" w:rsidRPr="00000000">
        <w:rPr>
          <w:rtl w:val="0"/>
        </w:rPr>
      </w:r>
    </w:p>
    <w:p w:rsidR="00000000" w:rsidDel="00000000" w:rsidP="00000000" w:rsidRDefault="00000000" w:rsidRPr="00000000" w14:paraId="0000000B">
      <w:pPr>
        <w:numPr>
          <w:ilvl w:val="1"/>
          <w:numId w:val="12"/>
        </w:numPr>
        <w:spacing w:line="240" w:lineRule="auto"/>
        <w:ind w:left="1440" w:hanging="360"/>
        <w:rPr>
          <w:rFonts w:ascii="Roboto" w:cs="Roboto" w:eastAsia="Roboto" w:hAnsi="Roboto"/>
          <w:i w:val="1"/>
          <w:color w:val="1d1d1d"/>
          <w:sz w:val="20"/>
          <w:szCs w:val="20"/>
          <w:highlight w:val="white"/>
        </w:rPr>
      </w:pPr>
      <w:r w:rsidDel="00000000" w:rsidR="00000000" w:rsidRPr="00000000">
        <w:rPr>
          <w:rFonts w:ascii="Roboto" w:cs="Roboto" w:eastAsia="Roboto" w:hAnsi="Roboto"/>
          <w:i w:val="1"/>
          <w:color w:val="1d1d1d"/>
          <w:sz w:val="20"/>
          <w:szCs w:val="20"/>
          <w:highlight w:val="white"/>
          <w:rtl w:val="0"/>
        </w:rPr>
        <w:t xml:space="preserve">$2.7 trillion</w:t>
      </w:r>
    </w:p>
    <w:p w:rsidR="00000000" w:rsidDel="00000000" w:rsidP="00000000" w:rsidRDefault="00000000" w:rsidRPr="00000000" w14:paraId="0000000C">
      <w:pPr>
        <w:spacing w:line="240" w:lineRule="auto"/>
        <w:jc w:val="both"/>
        <w:rPr>
          <w:rFonts w:ascii="Roboto" w:cs="Roboto" w:eastAsia="Roboto" w:hAnsi="Roboto"/>
          <w:i w:val="1"/>
          <w:color w:val="1d1d1d"/>
          <w:sz w:val="20"/>
          <w:szCs w:val="20"/>
          <w:highlight w:val="white"/>
        </w:rPr>
      </w:pPr>
      <w:r w:rsidDel="00000000" w:rsidR="00000000" w:rsidRPr="00000000">
        <w:rPr>
          <w:rtl w:val="0"/>
        </w:rPr>
      </w:r>
    </w:p>
    <w:p w:rsidR="00000000" w:rsidDel="00000000" w:rsidP="00000000" w:rsidRDefault="00000000" w:rsidRPr="00000000" w14:paraId="0000000D">
      <w:pPr>
        <w:numPr>
          <w:ilvl w:val="0"/>
          <w:numId w:val="10"/>
        </w:numPr>
        <w:spacing w:line="240" w:lineRule="auto"/>
        <w:ind w:left="720" w:hanging="360"/>
        <w:rPr>
          <w:rFonts w:ascii="Roboto" w:cs="Roboto" w:eastAsia="Roboto" w:hAnsi="Roboto"/>
          <w:color w:val="1d1d1d"/>
          <w:sz w:val="20"/>
          <w:szCs w:val="20"/>
          <w:highlight w:val="white"/>
        </w:rPr>
      </w:pPr>
      <w:r w:rsidDel="00000000" w:rsidR="00000000" w:rsidRPr="00000000">
        <w:rPr>
          <w:rFonts w:ascii="Roboto" w:cs="Roboto" w:eastAsia="Roboto" w:hAnsi="Roboto"/>
          <w:i w:val="1"/>
          <w:color w:val="1d1d1d"/>
          <w:sz w:val="20"/>
          <w:szCs w:val="20"/>
          <w:highlight w:val="white"/>
          <w:rtl w:val="0"/>
        </w:rPr>
        <w:t xml:space="preserve">Total Fossil Fuel Financing in 2019</w:t>
      </w:r>
      <w:r w:rsidDel="00000000" w:rsidR="00000000" w:rsidRPr="00000000">
        <w:rPr>
          <w:rtl w:val="0"/>
        </w:rPr>
      </w:r>
    </w:p>
    <w:p w:rsidR="00000000" w:rsidDel="00000000" w:rsidP="00000000" w:rsidRDefault="00000000" w:rsidRPr="00000000" w14:paraId="0000000E">
      <w:pPr>
        <w:numPr>
          <w:ilvl w:val="1"/>
          <w:numId w:val="10"/>
        </w:numPr>
        <w:spacing w:line="240" w:lineRule="auto"/>
        <w:ind w:left="1440" w:hanging="360"/>
        <w:rPr>
          <w:rFonts w:ascii="Roboto" w:cs="Roboto" w:eastAsia="Roboto" w:hAnsi="Roboto"/>
          <w:i w:val="1"/>
          <w:color w:val="1d1d1d"/>
          <w:sz w:val="20"/>
          <w:szCs w:val="20"/>
          <w:highlight w:val="white"/>
        </w:rPr>
      </w:pPr>
      <w:r w:rsidDel="00000000" w:rsidR="00000000" w:rsidRPr="00000000">
        <w:rPr>
          <w:rFonts w:ascii="Roboto" w:cs="Roboto" w:eastAsia="Roboto" w:hAnsi="Roboto"/>
          <w:i w:val="1"/>
          <w:color w:val="1d1d1d"/>
          <w:sz w:val="20"/>
          <w:szCs w:val="20"/>
          <w:highlight w:val="white"/>
          <w:rtl w:val="0"/>
        </w:rPr>
        <w:t xml:space="preserve">$65 B </w:t>
      </w:r>
    </w:p>
    <w:p w:rsidR="00000000" w:rsidDel="00000000" w:rsidP="00000000" w:rsidRDefault="00000000" w:rsidRPr="00000000" w14:paraId="0000000F">
      <w:pPr>
        <w:spacing w:line="240" w:lineRule="auto"/>
        <w:ind w:left="1080" w:firstLine="0"/>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rFonts w:ascii="Roboto" w:cs="Roboto" w:eastAsia="Roboto" w:hAnsi="Roboto"/>
          <w:color w:val="1d1d1d"/>
          <w:sz w:val="20"/>
          <w:szCs w:val="20"/>
          <w:highlight w:val="white"/>
        </w:rPr>
      </w:pPr>
      <w:r w:rsidDel="00000000" w:rsidR="00000000" w:rsidRPr="00000000">
        <w:rPr>
          <w:rFonts w:ascii="Roboto" w:cs="Roboto" w:eastAsia="Roboto" w:hAnsi="Roboto"/>
          <w:i w:val="1"/>
          <w:color w:val="1d1d1d"/>
          <w:sz w:val="20"/>
          <w:szCs w:val="20"/>
          <w:highlight w:val="white"/>
          <w:rtl w:val="0"/>
        </w:rPr>
        <w:t xml:space="preserve">Total Fossil Fuel Financing Between 2016-2019</w:t>
      </w:r>
      <w:r w:rsidDel="00000000" w:rsidR="00000000" w:rsidRPr="00000000">
        <w:rPr>
          <w:rtl w:val="0"/>
        </w:rPr>
      </w:r>
    </w:p>
    <w:p w:rsidR="00000000" w:rsidDel="00000000" w:rsidP="00000000" w:rsidRDefault="00000000" w:rsidRPr="00000000" w14:paraId="00000011">
      <w:pPr>
        <w:numPr>
          <w:ilvl w:val="1"/>
          <w:numId w:val="2"/>
        </w:numPr>
        <w:spacing w:line="240" w:lineRule="auto"/>
        <w:ind w:left="1440" w:hanging="360"/>
        <w:rPr>
          <w:rFonts w:ascii="Roboto" w:cs="Roboto" w:eastAsia="Roboto" w:hAnsi="Roboto"/>
          <w:i w:val="1"/>
          <w:color w:val="1d1d1d"/>
          <w:sz w:val="20"/>
          <w:szCs w:val="20"/>
          <w:highlight w:val="white"/>
        </w:rPr>
      </w:pPr>
      <w:r w:rsidDel="00000000" w:rsidR="00000000" w:rsidRPr="00000000">
        <w:rPr>
          <w:rFonts w:ascii="Roboto" w:cs="Roboto" w:eastAsia="Roboto" w:hAnsi="Roboto"/>
          <w:i w:val="1"/>
          <w:color w:val="1d1d1d"/>
          <w:sz w:val="20"/>
          <w:szCs w:val="20"/>
          <w:highlight w:val="white"/>
          <w:rtl w:val="0"/>
        </w:rPr>
        <w:t xml:space="preserve">$269 B</w:t>
      </w:r>
    </w:p>
    <w:p w:rsidR="00000000" w:rsidDel="00000000" w:rsidP="00000000" w:rsidRDefault="00000000" w:rsidRPr="00000000" w14:paraId="00000012">
      <w:pPr>
        <w:spacing w:line="240" w:lineRule="auto"/>
        <w:ind w:left="1440" w:firstLine="0"/>
        <w:rPr>
          <w:rFonts w:ascii="Roboto" w:cs="Roboto" w:eastAsia="Roboto" w:hAnsi="Roboto"/>
          <w:i w:val="1"/>
          <w:color w:val="1d1d1d"/>
          <w:sz w:val="20"/>
          <w:szCs w:val="20"/>
          <w:highlight w:val="white"/>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Roboto" w:cs="Roboto" w:eastAsia="Roboto" w:hAnsi="Roboto"/>
          <w:b w:val="1"/>
          <w:i w:val="1"/>
          <w:color w:val="262626"/>
        </w:rPr>
      </w:pPr>
      <w:r w:rsidDel="00000000" w:rsidR="00000000" w:rsidRPr="00000000">
        <w:rPr>
          <w:rFonts w:ascii="Roboto" w:cs="Roboto" w:eastAsia="Roboto" w:hAnsi="Roboto"/>
          <w:b w:val="1"/>
          <w:i w:val="1"/>
          <w:color w:val="262626"/>
          <w:rtl w:val="0"/>
        </w:rPr>
        <w:t xml:space="preserve">Between 2016-2019 JPMC financed:</w:t>
      </w:r>
    </w:p>
    <w:tbl>
      <w:tblPr>
        <w:tblStyle w:val="Table1"/>
        <w:tblW w:w="751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2760"/>
        <w:gridCol w:w="2715"/>
        <w:tblGridChange w:id="0">
          <w:tblGrid>
            <w:gridCol w:w="2040"/>
            <w:gridCol w:w="2760"/>
            <w:gridCol w:w="2715"/>
          </w:tblGrid>
        </w:tblGridChange>
      </w:tblGrid>
      <w:tr>
        <w:trPr>
          <w:trHeight w:val="5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both"/>
              <w:rPr>
                <w:rFonts w:ascii="Roboto" w:cs="Roboto" w:eastAsia="Roboto" w:hAnsi="Roboto"/>
                <w:b w:val="1"/>
                <w:i w:val="1"/>
                <w:color w:val="262626"/>
                <w:sz w:val="20"/>
                <w:szCs w:val="20"/>
              </w:rPr>
            </w:pPr>
            <w:r w:rsidDel="00000000" w:rsidR="00000000" w:rsidRPr="00000000">
              <w:rPr>
                <w:rFonts w:ascii="Roboto" w:cs="Roboto" w:eastAsia="Roboto" w:hAnsi="Roboto"/>
                <w:b w:val="1"/>
                <w:i w:val="1"/>
                <w:color w:val="262626"/>
                <w:sz w:val="20"/>
                <w:szCs w:val="20"/>
                <w:rtl w:val="0"/>
              </w:rPr>
              <w:t xml:space="preserve">Financing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both"/>
              <w:rPr>
                <w:rFonts w:ascii="Roboto" w:cs="Roboto" w:eastAsia="Roboto" w:hAnsi="Roboto"/>
                <w:b w:val="1"/>
                <w:i w:val="1"/>
                <w:color w:val="262626"/>
                <w:sz w:val="20"/>
                <w:szCs w:val="20"/>
              </w:rPr>
            </w:pPr>
            <w:r w:rsidDel="00000000" w:rsidR="00000000" w:rsidRPr="00000000">
              <w:rPr>
                <w:rFonts w:ascii="Roboto" w:cs="Roboto" w:eastAsia="Roboto" w:hAnsi="Roboto"/>
                <w:b w:val="1"/>
                <w:i w:val="1"/>
                <w:color w:val="262626"/>
                <w:sz w:val="20"/>
                <w:szCs w:val="20"/>
                <w:rtl w:val="0"/>
              </w:rPr>
              <w:t xml:space="preserve">Fossil Fuel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both"/>
              <w:rPr>
                <w:rFonts w:ascii="Roboto" w:cs="Roboto" w:eastAsia="Roboto" w:hAnsi="Roboto"/>
                <w:b w:val="1"/>
                <w:i w:val="1"/>
                <w:color w:val="262626"/>
                <w:sz w:val="20"/>
                <w:szCs w:val="20"/>
              </w:rPr>
            </w:pPr>
            <w:r w:rsidDel="00000000" w:rsidR="00000000" w:rsidRPr="00000000">
              <w:rPr>
                <w:rFonts w:ascii="Roboto" w:cs="Roboto" w:eastAsia="Roboto" w:hAnsi="Roboto"/>
                <w:b w:val="1"/>
                <w:i w:val="1"/>
                <w:color w:val="262626"/>
                <w:sz w:val="20"/>
                <w:szCs w:val="20"/>
                <w:rtl w:val="0"/>
              </w:rPr>
              <w:t xml:space="preserve">Rank out of Top 35 Fossil Fuel Financiers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$102.3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Fossil Fuel  Expansion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1st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$10.3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Tar Sands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3rd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$1.7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Arctic oil &amp; gas drilling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1st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$19.5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Offshore oil &amp; gas drilling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1st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$43.2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Fracked oil &amp; gas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1st</w:t>
            </w:r>
          </w:p>
        </w:tc>
      </w:tr>
      <w:tr>
        <w:trPr>
          <w:trHeight w:val="4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$6.1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Liquefied Natural Gas (LNG)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2nd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$1.8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Coal Mining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6th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$4.2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Coal Power Stations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both"/>
              <w:rPr>
                <w:rFonts w:ascii="Roboto" w:cs="Roboto" w:eastAsia="Roboto" w:hAnsi="Roboto"/>
                <w:i w:val="1"/>
                <w:color w:val="262626"/>
                <w:sz w:val="20"/>
                <w:szCs w:val="20"/>
              </w:rPr>
            </w:pPr>
            <w:r w:rsidDel="00000000" w:rsidR="00000000" w:rsidRPr="00000000">
              <w:rPr>
                <w:rFonts w:ascii="Roboto" w:cs="Roboto" w:eastAsia="Roboto" w:hAnsi="Roboto"/>
                <w:i w:val="1"/>
                <w:color w:val="262626"/>
                <w:sz w:val="20"/>
                <w:szCs w:val="20"/>
                <w:rtl w:val="0"/>
              </w:rPr>
              <w:t xml:space="preserve">9th </w:t>
            </w:r>
          </w:p>
        </w:tc>
      </w:tr>
    </w:tbl>
    <w:p w:rsidR="00000000" w:rsidDel="00000000" w:rsidP="00000000" w:rsidRDefault="00000000" w:rsidRPr="00000000" w14:paraId="0000002F">
      <w:pPr>
        <w:widowControl w:val="0"/>
        <w:spacing w:line="240" w:lineRule="auto"/>
        <w:jc w:val="both"/>
        <w:rPr>
          <w:rFonts w:ascii="Roboto" w:cs="Roboto" w:eastAsia="Roboto" w:hAnsi="Roboto"/>
          <w:i w:val="1"/>
          <w:color w:val="1d1d1d"/>
          <w:sz w:val="20"/>
          <w:szCs w:val="20"/>
          <w:highlight w:val="white"/>
        </w:rPr>
      </w:pPr>
      <w:r w:rsidDel="00000000" w:rsidR="00000000" w:rsidRPr="00000000">
        <w:rPr>
          <w:rtl w:val="0"/>
        </w:rPr>
      </w:r>
    </w:p>
    <w:p w:rsidR="00000000" w:rsidDel="00000000" w:rsidP="00000000" w:rsidRDefault="00000000" w:rsidRPr="00000000" w14:paraId="00000030">
      <w:pPr>
        <w:spacing w:line="240" w:lineRule="auto"/>
        <w:ind w:left="540" w:firstLine="0"/>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31">
      <w:pPr>
        <w:numPr>
          <w:ilvl w:val="0"/>
          <w:numId w:val="7"/>
        </w:numPr>
        <w:spacing w:line="240" w:lineRule="auto"/>
        <w:ind w:left="720" w:hanging="360"/>
        <w:jc w:val="both"/>
        <w:rPr>
          <w:rFonts w:ascii="Roboto" w:cs="Roboto" w:eastAsia="Roboto" w:hAnsi="Roboto"/>
          <w:color w:val="1d1d1d"/>
          <w:sz w:val="20"/>
          <w:szCs w:val="20"/>
          <w:highlight w:val="white"/>
        </w:rPr>
      </w:pPr>
      <w:r w:rsidDel="00000000" w:rsidR="00000000" w:rsidRPr="00000000">
        <w:rPr>
          <w:rFonts w:ascii="Roboto" w:cs="Roboto" w:eastAsia="Roboto" w:hAnsi="Roboto"/>
          <w:i w:val="1"/>
          <w:color w:val="1d1d1d"/>
          <w:sz w:val="20"/>
          <w:szCs w:val="20"/>
          <w:highlight w:val="white"/>
          <w:rtl w:val="0"/>
        </w:rPr>
        <w:t xml:space="preserve">Total Annualized Sustainable Finance Commitments</w:t>
      </w:r>
      <w:r w:rsidDel="00000000" w:rsidR="00000000" w:rsidRPr="00000000">
        <w:rPr>
          <w:rtl w:val="0"/>
        </w:rPr>
      </w:r>
    </w:p>
    <w:p w:rsidR="00000000" w:rsidDel="00000000" w:rsidP="00000000" w:rsidRDefault="00000000" w:rsidRPr="00000000" w14:paraId="00000032">
      <w:pPr>
        <w:numPr>
          <w:ilvl w:val="1"/>
          <w:numId w:val="7"/>
        </w:numPr>
        <w:spacing w:line="240" w:lineRule="auto"/>
        <w:ind w:left="1440" w:hanging="360"/>
        <w:jc w:val="both"/>
        <w:rPr>
          <w:rFonts w:ascii="Roboto" w:cs="Roboto" w:eastAsia="Roboto" w:hAnsi="Roboto"/>
          <w:i w:val="1"/>
          <w:color w:val="1d1d1d"/>
          <w:sz w:val="20"/>
          <w:szCs w:val="20"/>
          <w:highlight w:val="white"/>
        </w:rPr>
      </w:pPr>
      <w:r w:rsidDel="00000000" w:rsidR="00000000" w:rsidRPr="00000000">
        <w:rPr>
          <w:rFonts w:ascii="Roboto" w:cs="Roboto" w:eastAsia="Roboto" w:hAnsi="Roboto"/>
          <w:i w:val="1"/>
          <w:color w:val="1d1d1d"/>
          <w:sz w:val="20"/>
          <w:szCs w:val="20"/>
          <w:highlight w:val="white"/>
          <w:rtl w:val="0"/>
        </w:rPr>
        <w:t xml:space="preserve">$22 B </w:t>
      </w:r>
    </w:p>
    <w:p w:rsidR="00000000" w:rsidDel="00000000" w:rsidP="00000000" w:rsidRDefault="00000000" w:rsidRPr="00000000" w14:paraId="00000033">
      <w:pPr>
        <w:spacing w:line="240" w:lineRule="auto"/>
        <w:jc w:val="both"/>
        <w:rPr>
          <w:rFonts w:ascii="Roboto" w:cs="Roboto" w:eastAsia="Roboto" w:hAnsi="Roboto"/>
          <w:i w:val="1"/>
          <w:color w:val="1d1d1d"/>
          <w:sz w:val="20"/>
          <w:szCs w:val="20"/>
          <w:highlight w:val="white"/>
        </w:rPr>
      </w:pPr>
      <w:r w:rsidDel="00000000" w:rsidR="00000000" w:rsidRPr="00000000">
        <w:rPr>
          <w:rtl w:val="0"/>
        </w:rPr>
      </w:r>
    </w:p>
    <w:p w:rsidR="00000000" w:rsidDel="00000000" w:rsidP="00000000" w:rsidRDefault="00000000" w:rsidRPr="00000000" w14:paraId="00000034">
      <w:pPr>
        <w:spacing w:line="240" w:lineRule="auto"/>
        <w:ind w:left="720" w:firstLine="0"/>
        <w:jc w:val="both"/>
        <w:rPr>
          <w:rFonts w:ascii="Roboto" w:cs="Roboto" w:eastAsia="Roboto" w:hAnsi="Roboto"/>
          <w:i w:val="1"/>
          <w:color w:val="1d1d1d"/>
          <w:sz w:val="20"/>
          <w:szCs w:val="20"/>
          <w:highlight w:val="white"/>
        </w:rPr>
      </w:pPr>
      <w:r w:rsidDel="00000000" w:rsidR="00000000" w:rsidRPr="00000000">
        <w:rPr>
          <w:rtl w:val="0"/>
        </w:rPr>
      </w:r>
    </w:p>
    <w:p w:rsidR="00000000" w:rsidDel="00000000" w:rsidP="00000000" w:rsidRDefault="00000000" w:rsidRPr="00000000" w14:paraId="00000035">
      <w:pPr>
        <w:spacing w:line="240" w:lineRule="auto"/>
        <w:jc w:val="both"/>
        <w:rPr>
          <w:rFonts w:ascii="Roboto" w:cs="Roboto" w:eastAsia="Roboto" w:hAnsi="Roboto"/>
          <w:b w:val="1"/>
          <w:color w:val="1d1d1d"/>
          <w:sz w:val="28"/>
          <w:szCs w:val="28"/>
          <w:highlight w:val="white"/>
          <w:u w:val="single"/>
        </w:rPr>
      </w:pPr>
      <w:r w:rsidDel="00000000" w:rsidR="00000000" w:rsidRPr="00000000">
        <w:rPr>
          <w:rFonts w:ascii="Roboto" w:cs="Roboto" w:eastAsia="Roboto" w:hAnsi="Roboto"/>
          <w:b w:val="1"/>
          <w:color w:val="1d1d1d"/>
          <w:sz w:val="28"/>
          <w:szCs w:val="28"/>
          <w:highlight w:val="white"/>
          <w:u w:val="single"/>
          <w:rtl w:val="0"/>
        </w:rPr>
        <w:t xml:space="preserve">Leadership </w:t>
      </w:r>
    </w:p>
    <w:p w:rsidR="00000000" w:rsidDel="00000000" w:rsidP="00000000" w:rsidRDefault="00000000" w:rsidRPr="00000000" w14:paraId="00000036">
      <w:pPr>
        <w:spacing w:line="240" w:lineRule="auto"/>
        <w:ind w:left="720" w:firstLine="0"/>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37">
      <w:pPr>
        <w:numPr>
          <w:ilvl w:val="0"/>
          <w:numId w:val="3"/>
        </w:numPr>
        <w:spacing w:line="240" w:lineRule="auto"/>
        <w:ind w:left="720" w:hanging="360"/>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Under the leadership of Jamie Dimon, CEO and chairman, JPM has contributed more money towards fossil fuel industries than any other bank, leading by 36% over the next largest financier, Wells Fargo, and putting a total of $269 billion into coal, oil and gas firms over the last four years (2016-2019)</w:t>
      </w:r>
      <w:r w:rsidDel="00000000" w:rsidR="00000000" w:rsidRPr="00000000">
        <w:rPr>
          <w:rFonts w:ascii="Roboto" w:cs="Roboto" w:eastAsia="Roboto" w:hAnsi="Roboto"/>
          <w:color w:val="1d1d1d"/>
          <w:sz w:val="20"/>
          <w:szCs w:val="20"/>
          <w:highlight w:val="white"/>
          <w:vertAlign w:val="superscript"/>
        </w:rPr>
        <w:footnoteReference w:customMarkFollows="0" w:id="1"/>
      </w:r>
      <w:r w:rsidDel="00000000" w:rsidR="00000000" w:rsidRPr="00000000">
        <w:rPr>
          <w:rFonts w:ascii="Roboto" w:cs="Roboto" w:eastAsia="Roboto" w:hAnsi="Roboto"/>
          <w:color w:val="1d1d1d"/>
          <w:sz w:val="20"/>
          <w:szCs w:val="20"/>
          <w:highlight w:val="white"/>
          <w:rtl w:val="0"/>
        </w:rPr>
        <w:t xml:space="preserve">.  </w:t>
      </w:r>
    </w:p>
    <w:p w:rsidR="00000000" w:rsidDel="00000000" w:rsidP="00000000" w:rsidRDefault="00000000" w:rsidRPr="00000000" w14:paraId="00000038">
      <w:pPr>
        <w:spacing w:line="240" w:lineRule="auto"/>
        <w:ind w:left="1440" w:firstLine="0"/>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39">
      <w:pPr>
        <w:numPr>
          <w:ilvl w:val="0"/>
          <w:numId w:val="4"/>
        </w:numPr>
        <w:spacing w:line="240" w:lineRule="auto"/>
        <w:ind w:left="720" w:hanging="360"/>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For decades JPM has also been under the leadership of former Exxon Mobil CEO and climate change denier Lee Raymond as lead independent director of the Board. JPM has recently announced that Lee Raymond will step down from his leadership role, primarily due to ongoing pressure from activist groups and state treasurers calling for the need to establish an independent chair and have climate competent board oversight. </w:t>
      </w:r>
      <w:r w:rsidDel="00000000" w:rsidR="00000000" w:rsidRPr="00000000">
        <w:rPr>
          <w:rtl w:val="0"/>
        </w:rPr>
      </w:r>
    </w:p>
    <w:p w:rsidR="00000000" w:rsidDel="00000000" w:rsidP="00000000" w:rsidRDefault="00000000" w:rsidRPr="00000000" w14:paraId="0000003A">
      <w:pPr>
        <w:jc w:val="both"/>
        <w:rPr>
          <w:rFonts w:ascii="Roboto" w:cs="Roboto" w:eastAsia="Roboto" w:hAnsi="Roboto"/>
          <w:color w:val="1d1d1d"/>
          <w:sz w:val="28"/>
          <w:szCs w:val="28"/>
          <w:highlight w:val="white"/>
          <w:u w:val="single"/>
        </w:rPr>
      </w:pPr>
      <w:r w:rsidDel="00000000" w:rsidR="00000000" w:rsidRPr="00000000">
        <w:rPr>
          <w:rtl w:val="0"/>
        </w:rPr>
      </w:r>
    </w:p>
    <w:p w:rsidR="00000000" w:rsidDel="00000000" w:rsidP="00000000" w:rsidRDefault="00000000" w:rsidRPr="00000000" w14:paraId="0000003B">
      <w:pPr>
        <w:jc w:val="both"/>
        <w:rPr>
          <w:rFonts w:ascii="Roboto" w:cs="Roboto" w:eastAsia="Roboto" w:hAnsi="Roboto"/>
          <w:color w:val="1d1d1d"/>
          <w:sz w:val="28"/>
          <w:szCs w:val="28"/>
          <w:highlight w:val="white"/>
          <w:u w:val="single"/>
        </w:rPr>
      </w:pPr>
      <w:r w:rsidDel="00000000" w:rsidR="00000000" w:rsidRPr="00000000">
        <w:rPr>
          <w:rFonts w:ascii="Roboto" w:cs="Roboto" w:eastAsia="Roboto" w:hAnsi="Roboto"/>
          <w:color w:val="1d1d1d"/>
          <w:sz w:val="28"/>
          <w:szCs w:val="28"/>
          <w:highlight w:val="white"/>
          <w:u w:val="single"/>
          <w:rtl w:val="0"/>
        </w:rPr>
        <w:t xml:space="preserve">Major Fossil Fuel Industry Commitments </w:t>
      </w:r>
    </w:p>
    <w:p w:rsidR="00000000" w:rsidDel="00000000" w:rsidP="00000000" w:rsidRDefault="00000000" w:rsidRPr="00000000" w14:paraId="0000003C">
      <w:pPr>
        <w:spacing w:line="240" w:lineRule="auto"/>
        <w:jc w:val="both"/>
        <w:rPr>
          <w:rFonts w:ascii="Roboto" w:cs="Roboto" w:eastAsia="Roboto" w:hAnsi="Roboto"/>
          <w:color w:val="1d1d1d"/>
          <w:sz w:val="18"/>
          <w:szCs w:val="18"/>
          <w:highlight w:val="white"/>
        </w:rPr>
      </w:pPr>
      <w:r w:rsidDel="00000000" w:rsidR="00000000" w:rsidRPr="00000000">
        <w:rPr>
          <w:rtl w:val="0"/>
        </w:rPr>
      </w:r>
    </w:p>
    <w:p w:rsidR="00000000" w:rsidDel="00000000" w:rsidP="00000000" w:rsidRDefault="00000000" w:rsidRPr="00000000" w14:paraId="0000003D">
      <w:pPr>
        <w:numPr>
          <w:ilvl w:val="0"/>
          <w:numId w:val="5"/>
        </w:numPr>
        <w:spacing w:line="240" w:lineRule="auto"/>
        <w:ind w:left="720" w:hanging="360"/>
        <w:jc w:val="both"/>
        <w:rPr>
          <w:rFonts w:ascii="Roboto" w:cs="Roboto" w:eastAsia="Roboto" w:hAnsi="Roboto"/>
          <w:sz w:val="20"/>
          <w:szCs w:val="20"/>
          <w:highlight w:val="white"/>
        </w:rPr>
      </w:pPr>
      <w:r w:rsidDel="00000000" w:rsidR="00000000" w:rsidRPr="00000000">
        <w:rPr>
          <w:rFonts w:ascii="Roboto" w:cs="Roboto" w:eastAsia="Roboto" w:hAnsi="Roboto"/>
          <w:color w:val="1d1d1d"/>
          <w:sz w:val="20"/>
          <w:szCs w:val="20"/>
          <w:highlight w:val="white"/>
          <w:rtl w:val="0"/>
        </w:rPr>
        <w:t xml:space="preserve">JPM is the first bank to blow past a quarter trillion dollars for fossil fuels since the Paris Agreement in 2015. JPM’s financing of fossil fuel projects represents one of the world’s most significant contributions to climate change and is in direct opposition to the commitment of the Paris Agreement to limit global temperature rise to 1.5°C or at most 2°C, which would require banks to end all new finance of fossil fuel projects and the phase-out of finance for existing projects.</w:t>
      </w:r>
    </w:p>
    <w:p w:rsidR="00000000" w:rsidDel="00000000" w:rsidP="00000000" w:rsidRDefault="00000000" w:rsidRPr="00000000" w14:paraId="0000003E">
      <w:pPr>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3F">
      <w:pPr>
        <w:numPr>
          <w:ilvl w:val="0"/>
          <w:numId w:val="1"/>
        </w:numPr>
        <w:ind w:left="720" w:hanging="360"/>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On April 2, 2020 JPMorgan Chase (along with Citibank) led the underwriting of a USD $1.25 billion bond issuance for TC Energy, the company moving forward with the controversial Keystone XL tar sands oil pipeline. NASA scientist James Hansen explained that draining those tar sands deposits would be “game over” for the climate system. </w:t>
      </w:r>
    </w:p>
    <w:p w:rsidR="00000000" w:rsidDel="00000000" w:rsidP="00000000" w:rsidRDefault="00000000" w:rsidRPr="00000000" w14:paraId="00000040">
      <w:pPr>
        <w:spacing w:after="240" w:before="240" w:lineRule="auto"/>
        <w:jc w:val="both"/>
        <w:rPr>
          <w:rFonts w:ascii="Roboto" w:cs="Roboto" w:eastAsia="Roboto" w:hAnsi="Roboto"/>
          <w:i w:val="1"/>
          <w:color w:val="1d1d1d"/>
          <w:sz w:val="18"/>
          <w:szCs w:val="18"/>
          <w:highlight w:val="white"/>
        </w:rPr>
      </w:pPr>
      <w:r w:rsidDel="00000000" w:rsidR="00000000" w:rsidRPr="00000000">
        <w:rPr>
          <w:rFonts w:ascii="Roboto" w:cs="Roboto" w:eastAsia="Roboto" w:hAnsi="Roboto"/>
          <w:i w:val="1"/>
          <w:color w:val="1d1d1d"/>
          <w:sz w:val="18"/>
          <w:szCs w:val="18"/>
          <w:highlight w:val="white"/>
        </w:rPr>
        <w:drawing>
          <wp:inline distB="114300" distT="114300" distL="114300" distR="114300">
            <wp:extent cx="4995863" cy="3119946"/>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995863" cy="3119946"/>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240" w:before="240" w:lineRule="auto"/>
        <w:jc w:val="both"/>
        <w:rPr>
          <w:rFonts w:ascii="Roboto" w:cs="Roboto" w:eastAsia="Roboto" w:hAnsi="Roboto"/>
          <w:color w:val="1d1d1d"/>
          <w:sz w:val="16"/>
          <w:szCs w:val="16"/>
          <w:highlight w:val="white"/>
        </w:rPr>
      </w:pPr>
      <w:r w:rsidDel="00000000" w:rsidR="00000000" w:rsidRPr="00000000">
        <w:rPr>
          <w:rFonts w:ascii="Roboto" w:cs="Roboto" w:eastAsia="Roboto" w:hAnsi="Roboto"/>
          <w:color w:val="1d1d1d"/>
          <w:sz w:val="18"/>
          <w:szCs w:val="18"/>
          <w:highlight w:val="white"/>
        </w:rPr>
        <w:drawing>
          <wp:inline distB="114300" distT="114300" distL="114300" distR="114300">
            <wp:extent cx="5943600" cy="3111500"/>
            <wp:effectExtent b="0" l="0" r="0" t="0"/>
            <wp:docPr descr="Chart" id="3" name="image3.png"/>
            <a:graphic>
              <a:graphicData uri="http://schemas.openxmlformats.org/drawingml/2006/picture">
                <pic:pic>
                  <pic:nvPicPr>
                    <pic:cNvPr descr="Chart" id="0" name="image3.png"/>
                    <pic:cNvPicPr preferRelativeResize="0"/>
                  </pic:nvPicPr>
                  <pic:blipFill>
                    <a:blip r:embed="rId10"/>
                    <a:srcRect b="0" l="0" r="0" t="0"/>
                    <a:stretch>
                      <a:fillRect/>
                    </a:stretch>
                  </pic:blipFill>
                  <pic:spPr>
                    <a:xfrm>
                      <a:off x="0" y="0"/>
                      <a:ext cx="5943600" cy="3111500"/>
                    </a:xfrm>
                    <a:prstGeom prst="rect"/>
                    <a:ln/>
                  </pic:spPr>
                </pic:pic>
              </a:graphicData>
            </a:graphic>
          </wp:inline>
        </w:drawing>
      </w:r>
      <w:r w:rsidDel="00000000" w:rsidR="00000000" w:rsidRPr="00000000">
        <w:rPr>
          <w:rFonts w:ascii="Roboto" w:cs="Roboto" w:eastAsia="Roboto" w:hAnsi="Roboto"/>
          <w:color w:val="1d1d1d"/>
          <w:sz w:val="16"/>
          <w:szCs w:val="16"/>
          <w:highlight w:val="white"/>
          <w:rtl w:val="0"/>
        </w:rPr>
        <w:t xml:space="preserve">Note: JPM committed to facilitating $200 billion in clean financing between 2016 and 2025. This breaks down to an annual average of $22 billion, dwarfing in comparison to their annual fossil fuel financing standing at $65 billion</w:t>
      </w:r>
      <w:r w:rsidDel="00000000" w:rsidR="00000000" w:rsidRPr="00000000">
        <w:rPr>
          <w:rFonts w:ascii="Roboto" w:cs="Roboto" w:eastAsia="Roboto" w:hAnsi="Roboto"/>
          <w:color w:val="1d1d1d"/>
          <w:sz w:val="16"/>
          <w:szCs w:val="16"/>
          <w:highlight w:val="white"/>
          <w:vertAlign w:val="superscript"/>
        </w:rPr>
        <w:footnoteReference w:customMarkFollows="0" w:id="2"/>
      </w:r>
      <w:r w:rsidDel="00000000" w:rsidR="00000000" w:rsidRPr="00000000">
        <w:rPr>
          <w:rFonts w:ascii="Roboto" w:cs="Roboto" w:eastAsia="Roboto" w:hAnsi="Roboto"/>
          <w:color w:val="1d1d1d"/>
          <w:sz w:val="16"/>
          <w:szCs w:val="16"/>
          <w:highlight w:val="white"/>
          <w:rtl w:val="0"/>
        </w:rPr>
        <w:t xml:space="preserve">. </w:t>
      </w:r>
    </w:p>
    <w:p w:rsidR="00000000" w:rsidDel="00000000" w:rsidP="00000000" w:rsidRDefault="00000000" w:rsidRPr="00000000" w14:paraId="00000042">
      <w:pPr>
        <w:spacing w:line="240" w:lineRule="auto"/>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43">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Rainforest Action Network designates policy scores based on a point system that assesses bank policies on ending financing for fossil fuel expansion and phasing out overall fossil fuel financing. JPMorgan Chase received only 19.5 out of 200 possible points. For more detail into the scoring criteria, including for each fossil fuel subsector, visit the </w:t>
      </w:r>
      <w:hyperlink r:id="rId11">
        <w:r w:rsidDel="00000000" w:rsidR="00000000" w:rsidRPr="00000000">
          <w:rPr>
            <w:rFonts w:ascii="Roboto" w:cs="Roboto" w:eastAsia="Roboto" w:hAnsi="Roboto"/>
            <w:color w:val="1155cc"/>
            <w:sz w:val="20"/>
            <w:szCs w:val="20"/>
            <w:highlight w:val="white"/>
            <w:u w:val="single"/>
            <w:rtl w:val="0"/>
          </w:rPr>
          <w:t xml:space="preserve">Banking on Climate Change 2020 report</w:t>
        </w:r>
      </w:hyperlink>
      <w:r w:rsidDel="00000000" w:rsidR="00000000" w:rsidRPr="00000000">
        <w:rPr>
          <w:rFonts w:ascii="Roboto" w:cs="Roboto" w:eastAsia="Roboto" w:hAnsi="Roboto"/>
          <w:color w:val="1d1d1d"/>
          <w:sz w:val="20"/>
          <w:szCs w:val="20"/>
          <w:highlight w:val="white"/>
          <w:rtl w:val="0"/>
        </w:rPr>
        <w:t xml:space="preserve"> appendix. See below a fossil fuel policy score comparison of the major private US banks</w:t>
      </w:r>
      <w:r w:rsidDel="00000000" w:rsidR="00000000" w:rsidRPr="00000000">
        <w:rPr>
          <w:rFonts w:ascii="Roboto" w:cs="Roboto" w:eastAsia="Roboto" w:hAnsi="Roboto"/>
          <w:color w:val="1d1d1d"/>
          <w:sz w:val="20"/>
          <w:szCs w:val="20"/>
          <w:highlight w:val="white"/>
          <w:rtl w:val="0"/>
        </w:rPr>
        <w:t xml:space="preserve"> as of April 2020. </w:t>
      </w:r>
      <w:r w:rsidDel="00000000" w:rsidR="00000000" w:rsidRPr="00000000">
        <w:rPr>
          <w:rtl w:val="0"/>
        </w:rPr>
      </w:r>
    </w:p>
    <w:p w:rsidR="00000000" w:rsidDel="00000000" w:rsidP="00000000" w:rsidRDefault="00000000" w:rsidRPr="00000000" w14:paraId="00000044">
      <w:pPr>
        <w:spacing w:line="240" w:lineRule="auto"/>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45">
      <w:pPr>
        <w:spacing w:line="240" w:lineRule="auto"/>
        <w:jc w:val="both"/>
        <w:rPr>
          <w:rFonts w:ascii="Roboto" w:cs="Roboto" w:eastAsia="Roboto" w:hAnsi="Roboto"/>
          <w:color w:val="1d1d1d"/>
          <w:sz w:val="20"/>
          <w:szCs w:val="20"/>
          <w:highlight w:val="white"/>
        </w:rPr>
      </w:pPr>
      <w:r w:rsidDel="00000000" w:rsidR="00000000" w:rsidRPr="00000000">
        <w:rPr>
          <w:rtl w:val="0"/>
        </w:rPr>
      </w:r>
    </w:p>
    <w:tbl>
      <w:tblPr>
        <w:tblStyle w:val="Table2"/>
        <w:tblW w:w="88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155"/>
        <w:tblGridChange w:id="0">
          <w:tblGrid>
            <w:gridCol w:w="4680"/>
            <w:gridCol w:w="4155"/>
          </w:tblGrid>
        </w:tblGridChange>
      </w:tblGrid>
      <w:tr>
        <w:tc>
          <w:tcPr/>
          <w:p w:rsidR="00000000" w:rsidDel="00000000" w:rsidP="00000000" w:rsidRDefault="00000000" w:rsidRPr="00000000" w14:paraId="00000046">
            <w:pPr>
              <w:spacing w:line="240" w:lineRule="auto"/>
              <w:jc w:val="both"/>
              <w:rPr>
                <w:rFonts w:ascii="Roboto" w:cs="Roboto" w:eastAsia="Roboto" w:hAnsi="Roboto"/>
                <w:b w:val="1"/>
                <w:color w:val="1d1d1d"/>
                <w:sz w:val="20"/>
                <w:szCs w:val="20"/>
                <w:highlight w:val="white"/>
              </w:rPr>
            </w:pPr>
            <w:r w:rsidDel="00000000" w:rsidR="00000000" w:rsidRPr="00000000">
              <w:rPr>
                <w:rFonts w:ascii="Roboto" w:cs="Roboto" w:eastAsia="Roboto" w:hAnsi="Roboto"/>
                <w:b w:val="1"/>
                <w:color w:val="1d1d1d"/>
                <w:sz w:val="20"/>
                <w:szCs w:val="20"/>
                <w:highlight w:val="white"/>
                <w:rtl w:val="0"/>
              </w:rPr>
              <w:t xml:space="preserve">Bank</w:t>
            </w:r>
          </w:p>
        </w:tc>
        <w:tc>
          <w:tcPr/>
          <w:p w:rsidR="00000000" w:rsidDel="00000000" w:rsidP="00000000" w:rsidRDefault="00000000" w:rsidRPr="00000000" w14:paraId="00000047">
            <w:pPr>
              <w:spacing w:line="240" w:lineRule="auto"/>
              <w:jc w:val="both"/>
              <w:rPr>
                <w:rFonts w:ascii="Roboto" w:cs="Roboto" w:eastAsia="Roboto" w:hAnsi="Roboto"/>
                <w:b w:val="1"/>
                <w:color w:val="1d1d1d"/>
                <w:sz w:val="20"/>
                <w:szCs w:val="20"/>
                <w:highlight w:val="white"/>
              </w:rPr>
            </w:pPr>
            <w:r w:rsidDel="00000000" w:rsidR="00000000" w:rsidRPr="00000000">
              <w:rPr>
                <w:rFonts w:ascii="Roboto" w:cs="Roboto" w:eastAsia="Roboto" w:hAnsi="Roboto"/>
                <w:b w:val="1"/>
                <w:color w:val="1d1d1d"/>
                <w:sz w:val="20"/>
                <w:szCs w:val="20"/>
                <w:highlight w:val="white"/>
                <w:rtl w:val="0"/>
              </w:rPr>
              <w:t xml:space="preserve">Total Fossil Fuel Policy Score (Out of 200)</w:t>
            </w:r>
          </w:p>
        </w:tc>
      </w:tr>
      <w:tr>
        <w:tc>
          <w:tcPr/>
          <w:p w:rsidR="00000000" w:rsidDel="00000000" w:rsidP="00000000" w:rsidRDefault="00000000" w:rsidRPr="00000000" w14:paraId="00000048">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Citi</w:t>
            </w:r>
          </w:p>
        </w:tc>
        <w:tc>
          <w:tcPr/>
          <w:p w:rsidR="00000000" w:rsidDel="00000000" w:rsidP="00000000" w:rsidRDefault="00000000" w:rsidRPr="00000000" w14:paraId="00000049">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22</w:t>
            </w:r>
          </w:p>
        </w:tc>
      </w:tr>
      <w:tr>
        <w:tc>
          <w:tcPr/>
          <w:p w:rsidR="00000000" w:rsidDel="00000000" w:rsidP="00000000" w:rsidRDefault="00000000" w:rsidRPr="00000000" w14:paraId="0000004A">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JPMorgan Chase</w:t>
            </w:r>
          </w:p>
        </w:tc>
        <w:tc>
          <w:tcPr/>
          <w:p w:rsidR="00000000" w:rsidDel="00000000" w:rsidP="00000000" w:rsidRDefault="00000000" w:rsidRPr="00000000" w14:paraId="0000004B">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19.5</w:t>
            </w:r>
          </w:p>
        </w:tc>
      </w:tr>
      <w:tr>
        <w:tc>
          <w:tcPr/>
          <w:p w:rsidR="00000000" w:rsidDel="00000000" w:rsidP="00000000" w:rsidRDefault="00000000" w:rsidRPr="00000000" w14:paraId="0000004C">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Wells Fargo </w:t>
            </w:r>
          </w:p>
        </w:tc>
        <w:tc>
          <w:tcPr/>
          <w:p w:rsidR="00000000" w:rsidDel="00000000" w:rsidP="00000000" w:rsidRDefault="00000000" w:rsidRPr="00000000" w14:paraId="0000004D">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9</w:t>
            </w:r>
          </w:p>
        </w:tc>
      </w:tr>
      <w:tr>
        <w:tc>
          <w:tcPr/>
          <w:p w:rsidR="00000000" w:rsidDel="00000000" w:rsidP="00000000" w:rsidRDefault="00000000" w:rsidRPr="00000000" w14:paraId="0000004E">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Bank of America</w:t>
            </w:r>
          </w:p>
        </w:tc>
        <w:tc>
          <w:tcPr/>
          <w:p w:rsidR="00000000" w:rsidDel="00000000" w:rsidP="00000000" w:rsidRDefault="00000000" w:rsidRPr="00000000" w14:paraId="0000004F">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6</w:t>
            </w:r>
          </w:p>
        </w:tc>
      </w:tr>
      <w:tr>
        <w:tc>
          <w:tcPr/>
          <w:p w:rsidR="00000000" w:rsidDel="00000000" w:rsidP="00000000" w:rsidRDefault="00000000" w:rsidRPr="00000000" w14:paraId="00000050">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Morgan Stanley</w:t>
            </w:r>
          </w:p>
        </w:tc>
        <w:tc>
          <w:tcPr/>
          <w:p w:rsidR="00000000" w:rsidDel="00000000" w:rsidP="00000000" w:rsidRDefault="00000000" w:rsidRPr="00000000" w14:paraId="00000051">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21</w:t>
            </w:r>
          </w:p>
        </w:tc>
      </w:tr>
      <w:tr>
        <w:tc>
          <w:tcPr/>
          <w:p w:rsidR="00000000" w:rsidDel="00000000" w:rsidP="00000000" w:rsidRDefault="00000000" w:rsidRPr="00000000" w14:paraId="00000052">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Goldman Sachs </w:t>
            </w:r>
          </w:p>
        </w:tc>
        <w:tc>
          <w:tcPr/>
          <w:p w:rsidR="00000000" w:rsidDel="00000000" w:rsidP="00000000" w:rsidRDefault="00000000" w:rsidRPr="00000000" w14:paraId="00000053">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21.5 </w:t>
            </w:r>
          </w:p>
        </w:tc>
      </w:tr>
    </w:tbl>
    <w:p w:rsidR="00000000" w:rsidDel="00000000" w:rsidP="00000000" w:rsidRDefault="00000000" w:rsidRPr="00000000" w14:paraId="00000054">
      <w:pPr>
        <w:spacing w:line="240" w:lineRule="auto"/>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55">
      <w:pPr>
        <w:spacing w:line="240" w:lineRule="auto"/>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56">
      <w:pPr>
        <w:spacing w:line="240" w:lineRule="auto"/>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57">
      <w:pPr>
        <w:spacing w:line="240" w:lineRule="auto"/>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58">
      <w:pPr>
        <w:jc w:val="both"/>
        <w:rPr>
          <w:rFonts w:ascii="Roboto" w:cs="Roboto" w:eastAsia="Roboto" w:hAnsi="Roboto"/>
          <w:b w:val="1"/>
          <w:color w:val="1d1d1d"/>
          <w:sz w:val="28"/>
          <w:szCs w:val="28"/>
          <w:highlight w:val="white"/>
          <w:u w:val="single"/>
        </w:rPr>
      </w:pPr>
      <w:r w:rsidDel="00000000" w:rsidR="00000000" w:rsidRPr="00000000">
        <w:rPr>
          <w:rFonts w:ascii="Roboto" w:cs="Roboto" w:eastAsia="Roboto" w:hAnsi="Roboto"/>
          <w:b w:val="1"/>
          <w:color w:val="1d1d1d"/>
          <w:sz w:val="28"/>
          <w:szCs w:val="28"/>
          <w:highlight w:val="white"/>
          <w:u w:val="single"/>
          <w:rtl w:val="0"/>
        </w:rPr>
        <w:t xml:space="preserve">Fossil Fuel Policies</w:t>
      </w:r>
    </w:p>
    <w:p w:rsidR="00000000" w:rsidDel="00000000" w:rsidP="00000000" w:rsidRDefault="00000000" w:rsidRPr="00000000" w14:paraId="00000059">
      <w:pPr>
        <w:jc w:val="both"/>
        <w:rPr>
          <w:rFonts w:ascii="Roboto" w:cs="Roboto" w:eastAsia="Roboto" w:hAnsi="Roboto"/>
          <w:color w:val="1d1d1d"/>
          <w:sz w:val="16"/>
          <w:szCs w:val="16"/>
          <w:highlight w:val="white"/>
          <w:u w:val="single"/>
        </w:rPr>
      </w:pPr>
      <w:r w:rsidDel="00000000" w:rsidR="00000000" w:rsidRPr="00000000">
        <w:rPr>
          <w:rtl w:val="0"/>
        </w:rPr>
      </w:r>
    </w:p>
    <w:p w:rsidR="00000000" w:rsidDel="00000000" w:rsidP="00000000" w:rsidRDefault="00000000" w:rsidRPr="00000000" w14:paraId="0000005A">
      <w:pPr>
        <w:jc w:val="both"/>
        <w:rPr>
          <w:rFonts w:ascii="Roboto" w:cs="Roboto" w:eastAsia="Roboto" w:hAnsi="Roboto"/>
          <w:color w:val="1d1d1d"/>
          <w:highlight w:val="white"/>
        </w:rPr>
      </w:pPr>
      <w:r w:rsidDel="00000000" w:rsidR="00000000" w:rsidRPr="00000000">
        <w:rPr>
          <w:rFonts w:ascii="Roboto" w:cs="Roboto" w:eastAsia="Roboto" w:hAnsi="Roboto"/>
          <w:color w:val="1d1d1d"/>
          <w:highlight w:val="white"/>
          <w:rtl w:val="0"/>
        </w:rPr>
        <w:t xml:space="preserve">JPMorgan Chase updated its fossil fuels policies in February 2020, as of this update:</w:t>
      </w:r>
    </w:p>
    <w:p w:rsidR="00000000" w:rsidDel="00000000" w:rsidP="00000000" w:rsidRDefault="00000000" w:rsidRPr="00000000" w14:paraId="0000005B">
      <w:pPr>
        <w:jc w:val="both"/>
        <w:rPr>
          <w:rFonts w:ascii="Roboto" w:cs="Roboto" w:eastAsia="Roboto" w:hAnsi="Roboto"/>
          <w:color w:val="1d1d1d"/>
          <w:sz w:val="8"/>
          <w:szCs w:val="8"/>
          <w:highlight w:val="white"/>
          <w:u w:val="single"/>
        </w:rPr>
      </w:pPr>
      <w:r w:rsidDel="00000000" w:rsidR="00000000" w:rsidRPr="00000000">
        <w:rPr>
          <w:rtl w:val="0"/>
        </w:rPr>
      </w:r>
    </w:p>
    <w:p w:rsidR="00000000" w:rsidDel="00000000" w:rsidP="00000000" w:rsidRDefault="00000000" w:rsidRPr="00000000" w14:paraId="0000005C">
      <w:pPr>
        <w:jc w:val="both"/>
        <w:rPr>
          <w:rFonts w:ascii="Roboto" w:cs="Roboto" w:eastAsia="Roboto" w:hAnsi="Roboto"/>
          <w:color w:val="1d1d1d"/>
          <w:highlight w:val="white"/>
        </w:rPr>
      </w:pPr>
      <w:r w:rsidDel="00000000" w:rsidR="00000000" w:rsidRPr="00000000">
        <w:rPr>
          <w:rFonts w:ascii="Roboto" w:cs="Roboto" w:eastAsia="Roboto" w:hAnsi="Roboto"/>
          <w:color w:val="1d1d1d"/>
          <w:highlight w:val="white"/>
          <w:u w:val="single"/>
          <w:rtl w:val="0"/>
        </w:rPr>
        <w:t xml:space="preserve">Oil &amp; Gas </w:t>
      </w:r>
      <w:r w:rsidDel="00000000" w:rsidR="00000000" w:rsidRPr="00000000">
        <w:rPr>
          <w:rtl w:val="0"/>
        </w:rPr>
      </w:r>
    </w:p>
    <w:p w:rsidR="00000000" w:rsidDel="00000000" w:rsidP="00000000" w:rsidRDefault="00000000" w:rsidRPr="00000000" w14:paraId="0000005D">
      <w:pPr>
        <w:jc w:val="both"/>
        <w:rPr>
          <w:rFonts w:ascii="Roboto" w:cs="Roboto" w:eastAsia="Roboto" w:hAnsi="Roboto"/>
          <w:color w:val="1d1d1d"/>
          <w:highlight w:val="white"/>
          <w:u w:val="single"/>
        </w:rPr>
      </w:pPr>
      <w:r w:rsidDel="00000000" w:rsidR="00000000" w:rsidRPr="00000000">
        <w:rPr>
          <w:rFonts w:ascii="Roboto" w:cs="Roboto" w:eastAsia="Roboto" w:hAnsi="Roboto"/>
          <w:color w:val="1d1d1d"/>
          <w:highlight w:val="white"/>
          <w:rtl w:val="0"/>
        </w:rPr>
        <w:t xml:space="preserve">JPMorgan Chase has not implemented restrictions on oil and gas development such as fracking and oilsands projects.</w:t>
      </w:r>
      <w:r w:rsidDel="00000000" w:rsidR="00000000" w:rsidRPr="00000000">
        <w:rPr>
          <w:rtl w:val="0"/>
        </w:rPr>
      </w:r>
    </w:p>
    <w:p w:rsidR="00000000" w:rsidDel="00000000" w:rsidP="00000000" w:rsidRDefault="00000000" w:rsidRPr="00000000" w14:paraId="0000005E">
      <w:pPr>
        <w:jc w:val="both"/>
        <w:rPr>
          <w:rFonts w:ascii="Roboto" w:cs="Roboto" w:eastAsia="Roboto" w:hAnsi="Roboto"/>
          <w:color w:val="1d1d1d"/>
          <w:highlight w:val="white"/>
        </w:rPr>
      </w:pPr>
      <w:r w:rsidDel="00000000" w:rsidR="00000000" w:rsidRPr="00000000">
        <w:rPr>
          <w:rtl w:val="0"/>
        </w:rPr>
      </w:r>
    </w:p>
    <w:p w:rsidR="00000000" w:rsidDel="00000000" w:rsidP="00000000" w:rsidRDefault="00000000" w:rsidRPr="00000000" w14:paraId="0000005F">
      <w:pPr>
        <w:jc w:val="both"/>
        <w:rPr>
          <w:rFonts w:ascii="Roboto" w:cs="Roboto" w:eastAsia="Roboto" w:hAnsi="Roboto"/>
          <w:color w:val="1d1d1d"/>
          <w:highlight w:val="white"/>
          <w:u w:val="single"/>
        </w:rPr>
      </w:pPr>
      <w:r w:rsidDel="00000000" w:rsidR="00000000" w:rsidRPr="00000000">
        <w:rPr>
          <w:rFonts w:ascii="Roboto" w:cs="Roboto" w:eastAsia="Roboto" w:hAnsi="Roboto"/>
          <w:color w:val="1d1d1d"/>
          <w:highlight w:val="white"/>
          <w:u w:val="single"/>
          <w:rtl w:val="0"/>
        </w:rPr>
        <w:t xml:space="preserve">Coal</w:t>
      </w:r>
    </w:p>
    <w:p w:rsidR="00000000" w:rsidDel="00000000" w:rsidP="00000000" w:rsidRDefault="00000000" w:rsidRPr="00000000" w14:paraId="00000060">
      <w:pPr>
        <w:jc w:val="both"/>
        <w:rPr>
          <w:rFonts w:ascii="Roboto" w:cs="Roboto" w:eastAsia="Roboto" w:hAnsi="Roboto"/>
          <w:color w:val="1d1d1d"/>
          <w:highlight w:val="white"/>
        </w:rPr>
      </w:pPr>
      <w:r w:rsidDel="00000000" w:rsidR="00000000" w:rsidRPr="00000000">
        <w:rPr>
          <w:rFonts w:ascii="Roboto" w:cs="Roboto" w:eastAsia="Roboto" w:hAnsi="Roboto"/>
          <w:color w:val="1d1d1d"/>
          <w:highlight w:val="white"/>
          <w:rtl w:val="0"/>
        </w:rPr>
        <w:t xml:space="preserve">JPMorgan Chase has </w:t>
      </w:r>
      <w:hyperlink r:id="rId12">
        <w:r w:rsidDel="00000000" w:rsidR="00000000" w:rsidRPr="00000000">
          <w:rPr>
            <w:rFonts w:ascii="Roboto" w:cs="Roboto" w:eastAsia="Roboto" w:hAnsi="Roboto"/>
            <w:color w:val="1155cc"/>
            <w:highlight w:val="white"/>
            <w:u w:val="single"/>
            <w:rtl w:val="0"/>
          </w:rPr>
          <w:t xml:space="preserve">strengthened its restrictions</w:t>
        </w:r>
      </w:hyperlink>
      <w:r w:rsidDel="00000000" w:rsidR="00000000" w:rsidRPr="00000000">
        <w:rPr>
          <w:rFonts w:ascii="Roboto" w:cs="Roboto" w:eastAsia="Roboto" w:hAnsi="Roboto"/>
          <w:color w:val="1d1d1d"/>
          <w:highlight w:val="white"/>
          <w:rtl w:val="0"/>
        </w:rPr>
        <w:t xml:space="preserve"> on financing (lending and underwriting) for coal mining and coal power. On coal power, the bank had previously ruled out financing for coal plants only in developed nations, and now prohibits financing for coal plants worldwide. However, its new policy falls short of global best practice in that it only restricts direct financing for new coal plants, and does nothing to restrict financing for the companies behind them. </w:t>
      </w:r>
    </w:p>
    <w:p w:rsidR="00000000" w:rsidDel="00000000" w:rsidP="00000000" w:rsidRDefault="00000000" w:rsidRPr="00000000" w14:paraId="00000061">
      <w:pPr>
        <w:jc w:val="both"/>
        <w:rPr>
          <w:rFonts w:ascii="Roboto" w:cs="Roboto" w:eastAsia="Roboto" w:hAnsi="Roboto"/>
          <w:color w:val="1d1d1d"/>
          <w:highlight w:val="white"/>
        </w:rPr>
      </w:pPr>
      <w:r w:rsidDel="00000000" w:rsidR="00000000" w:rsidRPr="00000000">
        <w:rPr>
          <w:rtl w:val="0"/>
        </w:rPr>
      </w:r>
    </w:p>
    <w:p w:rsidR="00000000" w:rsidDel="00000000" w:rsidP="00000000" w:rsidRDefault="00000000" w:rsidRPr="00000000" w14:paraId="00000062">
      <w:pPr>
        <w:jc w:val="both"/>
        <w:rPr>
          <w:rFonts w:ascii="Roboto" w:cs="Roboto" w:eastAsia="Roboto" w:hAnsi="Roboto"/>
          <w:color w:val="1d1d1d"/>
          <w:highlight w:val="white"/>
        </w:rPr>
      </w:pPr>
      <w:r w:rsidDel="00000000" w:rsidR="00000000" w:rsidRPr="00000000">
        <w:rPr>
          <w:rFonts w:ascii="Roboto" w:cs="Roboto" w:eastAsia="Roboto" w:hAnsi="Roboto"/>
          <w:color w:val="1d1d1d"/>
          <w:highlight w:val="white"/>
          <w:rtl w:val="0"/>
        </w:rPr>
        <w:t xml:space="preserve">The policy now prohibits financing for majority coal mining companies, and JPMorgan Chase will zero out its credit exposure to those companies by 2024. However, the coal policy falls short in that it applies only to companies whose primary business is coal mining. This loophole allows the bank to continue financing some of the biggest coal mining companies, many of which are conglomerates that get less than half of their revenue from coal. </w:t>
      </w:r>
    </w:p>
    <w:p w:rsidR="00000000" w:rsidDel="00000000" w:rsidP="00000000" w:rsidRDefault="00000000" w:rsidRPr="00000000" w14:paraId="00000063">
      <w:pPr>
        <w:jc w:val="both"/>
        <w:rPr>
          <w:rFonts w:ascii="Roboto" w:cs="Roboto" w:eastAsia="Roboto" w:hAnsi="Roboto"/>
          <w:color w:val="1d1d1d"/>
          <w:highlight w:val="white"/>
        </w:rPr>
      </w:pPr>
      <w:r w:rsidDel="00000000" w:rsidR="00000000" w:rsidRPr="00000000">
        <w:rPr>
          <w:rtl w:val="0"/>
        </w:rPr>
      </w:r>
    </w:p>
    <w:p w:rsidR="00000000" w:rsidDel="00000000" w:rsidP="00000000" w:rsidRDefault="00000000" w:rsidRPr="00000000" w14:paraId="00000064">
      <w:pPr>
        <w:jc w:val="both"/>
        <w:rPr>
          <w:rFonts w:ascii="Roboto" w:cs="Roboto" w:eastAsia="Roboto" w:hAnsi="Roboto"/>
          <w:color w:val="1d1d1d"/>
          <w:highlight w:val="white"/>
          <w:u w:val="single"/>
        </w:rPr>
      </w:pPr>
      <w:r w:rsidDel="00000000" w:rsidR="00000000" w:rsidRPr="00000000">
        <w:rPr>
          <w:rFonts w:ascii="Roboto" w:cs="Roboto" w:eastAsia="Roboto" w:hAnsi="Roboto"/>
          <w:color w:val="1d1d1d"/>
          <w:highlight w:val="white"/>
          <w:u w:val="single"/>
          <w:rtl w:val="0"/>
        </w:rPr>
        <w:t xml:space="preserve">Arctic Region  </w:t>
      </w:r>
    </w:p>
    <w:p w:rsidR="00000000" w:rsidDel="00000000" w:rsidP="00000000" w:rsidRDefault="00000000" w:rsidRPr="00000000" w14:paraId="00000065">
      <w:pPr>
        <w:jc w:val="both"/>
        <w:rPr>
          <w:rFonts w:ascii="Roboto" w:cs="Roboto" w:eastAsia="Roboto" w:hAnsi="Roboto"/>
          <w:color w:val="1d1d1d"/>
          <w:highlight w:val="white"/>
        </w:rPr>
      </w:pPr>
      <w:r w:rsidDel="00000000" w:rsidR="00000000" w:rsidRPr="00000000">
        <w:rPr>
          <w:rFonts w:ascii="Roboto" w:cs="Roboto" w:eastAsia="Roboto" w:hAnsi="Roboto"/>
          <w:color w:val="1d1d1d"/>
          <w:highlight w:val="white"/>
          <w:rtl w:val="0"/>
        </w:rPr>
        <w:t xml:space="preserve">In February 2020, JPM </w:t>
      </w:r>
      <w:hyperlink r:id="rId13">
        <w:r w:rsidDel="00000000" w:rsidR="00000000" w:rsidRPr="00000000">
          <w:rPr>
            <w:rFonts w:ascii="Roboto" w:cs="Roboto" w:eastAsia="Roboto" w:hAnsi="Roboto"/>
            <w:color w:val="1155cc"/>
            <w:highlight w:val="white"/>
            <w:u w:val="single"/>
            <w:rtl w:val="0"/>
          </w:rPr>
          <w:t xml:space="preserve">updated its energy policy</w:t>
        </w:r>
      </w:hyperlink>
      <w:r w:rsidDel="00000000" w:rsidR="00000000" w:rsidRPr="00000000">
        <w:rPr>
          <w:rFonts w:ascii="Roboto" w:cs="Roboto" w:eastAsia="Roboto" w:hAnsi="Roboto"/>
          <w:color w:val="1d1d1d"/>
          <w:highlight w:val="white"/>
          <w:rtl w:val="0"/>
        </w:rPr>
        <w:t xml:space="preserve">, banning the financing of new oil and gas development projects in the Arctic and also restricting new thermal coal mines and coal-fired power projects in the Arctic.</w:t>
      </w:r>
    </w:p>
    <w:p w:rsidR="00000000" w:rsidDel="00000000" w:rsidP="00000000" w:rsidRDefault="00000000" w:rsidRPr="00000000" w14:paraId="00000066">
      <w:pPr>
        <w:jc w:val="both"/>
        <w:rPr>
          <w:rFonts w:ascii="Roboto" w:cs="Roboto" w:eastAsia="Roboto" w:hAnsi="Roboto"/>
          <w:color w:val="1d1d1d"/>
          <w:highlight w:val="white"/>
        </w:rPr>
      </w:pPr>
      <w:r w:rsidDel="00000000" w:rsidR="00000000" w:rsidRPr="00000000">
        <w:rPr>
          <w:rtl w:val="0"/>
        </w:rPr>
      </w:r>
    </w:p>
    <w:p w:rsidR="00000000" w:rsidDel="00000000" w:rsidP="00000000" w:rsidRDefault="00000000" w:rsidRPr="00000000" w14:paraId="00000067">
      <w:pPr>
        <w:jc w:val="both"/>
        <w:rPr>
          <w:rFonts w:ascii="Roboto" w:cs="Roboto" w:eastAsia="Roboto" w:hAnsi="Roboto"/>
          <w:color w:val="1d1d1d"/>
          <w:sz w:val="28"/>
          <w:szCs w:val="28"/>
          <w:highlight w:val="white"/>
          <w:u w:val="single"/>
        </w:rPr>
      </w:pPr>
      <w:r w:rsidDel="00000000" w:rsidR="00000000" w:rsidRPr="00000000">
        <w:rPr>
          <w:rFonts w:ascii="Roboto" w:cs="Roboto" w:eastAsia="Roboto" w:hAnsi="Roboto"/>
          <w:color w:val="1d1d1d"/>
          <w:highlight w:val="white"/>
          <w:rtl w:val="0"/>
        </w:rPr>
        <w:t xml:space="preserve">However, the policy falls short of explicitly ruling out exploration and does not rule out finance for companies active in the Arctic. The policy also doe not implement restrictions on other oil and gas development, like fracking or oilsands projects elsewhere.</w:t>
      </w:r>
      <w:r w:rsidDel="00000000" w:rsidR="00000000" w:rsidRPr="00000000">
        <w:rPr>
          <w:rtl w:val="0"/>
        </w:rPr>
      </w:r>
    </w:p>
    <w:p w:rsidR="00000000" w:rsidDel="00000000" w:rsidP="00000000" w:rsidRDefault="00000000" w:rsidRPr="00000000" w14:paraId="00000068">
      <w:pPr>
        <w:jc w:val="both"/>
        <w:rPr>
          <w:rFonts w:ascii="Roboto" w:cs="Roboto" w:eastAsia="Roboto" w:hAnsi="Roboto"/>
          <w:color w:val="1d1d1d"/>
          <w:sz w:val="16"/>
          <w:szCs w:val="16"/>
          <w:highlight w:val="white"/>
          <w:u w:val="single"/>
        </w:rPr>
      </w:pPr>
      <w:r w:rsidDel="00000000" w:rsidR="00000000" w:rsidRPr="00000000">
        <w:rPr>
          <w:rtl w:val="0"/>
        </w:rPr>
      </w:r>
    </w:p>
    <w:p w:rsidR="00000000" w:rsidDel="00000000" w:rsidP="00000000" w:rsidRDefault="00000000" w:rsidRPr="00000000" w14:paraId="00000069">
      <w:pPr>
        <w:jc w:val="both"/>
        <w:rPr>
          <w:rFonts w:ascii="Roboto" w:cs="Roboto" w:eastAsia="Roboto" w:hAnsi="Roboto"/>
          <w:b w:val="1"/>
          <w:color w:val="262626"/>
        </w:rPr>
      </w:pPr>
      <w:r w:rsidDel="00000000" w:rsidR="00000000" w:rsidRPr="00000000">
        <w:rPr>
          <w:rFonts w:ascii="Roboto" w:cs="Roboto" w:eastAsia="Roboto" w:hAnsi="Roboto"/>
          <w:b w:val="1"/>
          <w:color w:val="1d1d1d"/>
          <w:sz w:val="28"/>
          <w:szCs w:val="28"/>
          <w:highlight w:val="white"/>
          <w:u w:val="single"/>
          <w:rtl w:val="0"/>
        </w:rPr>
        <w:t xml:space="preserve">Measure - Disclose - Reduce</w:t>
      </w:r>
      <w:r w:rsidDel="00000000" w:rsidR="00000000" w:rsidRPr="00000000">
        <w:rPr>
          <w:rtl w:val="0"/>
        </w:rPr>
      </w:r>
    </w:p>
    <w:p w:rsidR="00000000" w:rsidDel="00000000" w:rsidP="00000000" w:rsidRDefault="00000000" w:rsidRPr="00000000" w14:paraId="0000006A">
      <w:pPr>
        <w:spacing w:line="240" w:lineRule="auto"/>
        <w:jc w:val="both"/>
        <w:rPr>
          <w:rFonts w:ascii="Roboto" w:cs="Roboto" w:eastAsia="Roboto" w:hAnsi="Roboto"/>
          <w:color w:val="262626"/>
        </w:rPr>
      </w:pPr>
      <w:r w:rsidDel="00000000" w:rsidR="00000000" w:rsidRPr="00000000">
        <w:rPr>
          <w:rtl w:val="0"/>
        </w:rPr>
      </w:r>
    </w:p>
    <w:p w:rsidR="00000000" w:rsidDel="00000000" w:rsidP="00000000" w:rsidRDefault="00000000" w:rsidRPr="00000000" w14:paraId="0000006B">
      <w:pPr>
        <w:spacing w:line="240" w:lineRule="auto"/>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262626"/>
          <w:rtl w:val="0"/>
        </w:rPr>
        <w:t xml:space="preserve">In December 2017, JPMC signed on to the </w:t>
      </w:r>
      <w:hyperlink r:id="rId14">
        <w:r w:rsidDel="00000000" w:rsidR="00000000" w:rsidRPr="00000000">
          <w:rPr>
            <w:rFonts w:ascii="Roboto" w:cs="Roboto" w:eastAsia="Roboto" w:hAnsi="Roboto"/>
            <w:color w:val="1155cc"/>
            <w:u w:val="single"/>
            <w:rtl w:val="0"/>
          </w:rPr>
          <w:t xml:space="preserve">Task Force on Climate Related Financial Disclosures</w:t>
        </w:r>
      </w:hyperlink>
      <w:r w:rsidDel="00000000" w:rsidR="00000000" w:rsidRPr="00000000">
        <w:rPr>
          <w:rFonts w:ascii="Roboto" w:cs="Roboto" w:eastAsia="Roboto" w:hAnsi="Roboto"/>
          <w:color w:val="262626"/>
          <w:rtl w:val="0"/>
        </w:rPr>
        <w:t xml:space="preserve">, a set of consistent and coherent principles for voluntary climate-related financial risk disclosures that provide information to investors, lenders, insurers, and other stakeholders.</w:t>
      </w:r>
      <w:r w:rsidDel="00000000" w:rsidR="00000000" w:rsidRPr="00000000">
        <w:rPr>
          <w:rtl w:val="0"/>
        </w:rPr>
      </w:r>
    </w:p>
    <w:p w:rsidR="00000000" w:rsidDel="00000000" w:rsidP="00000000" w:rsidRDefault="00000000" w:rsidRPr="00000000" w14:paraId="0000006C">
      <w:pPr>
        <w:spacing w:line="240" w:lineRule="auto"/>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6D">
      <w:pPr>
        <w:jc w:val="both"/>
        <w:rPr>
          <w:rFonts w:ascii="Roboto" w:cs="Roboto" w:eastAsia="Roboto" w:hAnsi="Roboto"/>
          <w:color w:val="1d1d1d"/>
          <w:sz w:val="12"/>
          <w:szCs w:val="12"/>
          <w:highlight w:val="white"/>
        </w:rPr>
      </w:pPr>
      <w:r w:rsidDel="00000000" w:rsidR="00000000" w:rsidRPr="00000000">
        <w:rPr>
          <w:rtl w:val="0"/>
        </w:rPr>
      </w:r>
    </w:p>
    <w:p w:rsidR="00000000" w:rsidDel="00000000" w:rsidP="00000000" w:rsidRDefault="00000000" w:rsidRPr="00000000" w14:paraId="0000006E">
      <w:pPr>
        <w:jc w:val="both"/>
        <w:rPr>
          <w:rFonts w:ascii="Roboto" w:cs="Roboto" w:eastAsia="Roboto" w:hAnsi="Roboto"/>
          <w:b w:val="1"/>
          <w:color w:val="1d1d1d"/>
          <w:sz w:val="28"/>
          <w:szCs w:val="28"/>
          <w:highlight w:val="white"/>
          <w:u w:val="single"/>
        </w:rPr>
      </w:pPr>
      <w:r w:rsidDel="00000000" w:rsidR="00000000" w:rsidRPr="00000000">
        <w:rPr>
          <w:rFonts w:ascii="Roboto" w:cs="Roboto" w:eastAsia="Roboto" w:hAnsi="Roboto"/>
          <w:b w:val="1"/>
          <w:color w:val="1d1d1d"/>
          <w:sz w:val="28"/>
          <w:szCs w:val="28"/>
          <w:highlight w:val="white"/>
          <w:u w:val="single"/>
          <w:rtl w:val="0"/>
        </w:rPr>
        <w:t xml:space="preserve">Major Shareholder Actions</w:t>
      </w:r>
    </w:p>
    <w:p w:rsidR="00000000" w:rsidDel="00000000" w:rsidP="00000000" w:rsidRDefault="00000000" w:rsidRPr="00000000" w14:paraId="0000006F">
      <w:pPr>
        <w:jc w:val="both"/>
        <w:rPr>
          <w:rFonts w:ascii="Roboto" w:cs="Roboto" w:eastAsia="Roboto" w:hAnsi="Roboto"/>
          <w:color w:val="1d1d1d"/>
          <w:sz w:val="18"/>
          <w:szCs w:val="18"/>
          <w:highlight w:val="white"/>
        </w:rPr>
      </w:pPr>
      <w:r w:rsidDel="00000000" w:rsidR="00000000" w:rsidRPr="00000000">
        <w:rPr>
          <w:rtl w:val="0"/>
        </w:rPr>
      </w:r>
    </w:p>
    <w:p w:rsidR="00000000" w:rsidDel="00000000" w:rsidP="00000000" w:rsidRDefault="00000000" w:rsidRPr="00000000" w14:paraId="00000070">
      <w:pPr>
        <w:numPr>
          <w:ilvl w:val="0"/>
          <w:numId w:val="6"/>
        </w:numPr>
        <w:ind w:left="720" w:hanging="360"/>
        <w:jc w:val="both"/>
        <w:rPr>
          <w:rFonts w:ascii="Roboto" w:cs="Roboto" w:eastAsia="Roboto" w:hAnsi="Roboto"/>
          <w:color w:val="1d1d1d"/>
          <w:highlight w:val="white"/>
        </w:rPr>
      </w:pPr>
      <w:r w:rsidDel="00000000" w:rsidR="00000000" w:rsidRPr="00000000">
        <w:rPr>
          <w:rFonts w:ascii="Roboto" w:cs="Roboto" w:eastAsia="Roboto" w:hAnsi="Roboto"/>
          <w:color w:val="1d1d1d"/>
          <w:highlight w:val="white"/>
          <w:rtl w:val="0"/>
        </w:rPr>
        <w:t xml:space="preserve">At JPMC’s annual general meeting a number of critical governance and climate-related shareholder proposals were considered. A proposal to align financing to the Paris agreement goals received a reported 49.6% support, and the proposal to elect an independent board chair received 41.96%, its highest support since the 2008 financial crisis. </w:t>
      </w:r>
    </w:p>
    <w:p w:rsidR="00000000" w:rsidDel="00000000" w:rsidP="00000000" w:rsidRDefault="00000000" w:rsidRPr="00000000" w14:paraId="00000071">
      <w:pPr>
        <w:jc w:val="both"/>
        <w:rPr>
          <w:rFonts w:ascii="Roboto" w:cs="Roboto" w:eastAsia="Roboto" w:hAnsi="Roboto"/>
          <w:b w:val="1"/>
          <w:color w:val="1d1d1d"/>
          <w:sz w:val="28"/>
          <w:szCs w:val="28"/>
          <w:highlight w:val="white"/>
        </w:rPr>
      </w:pPr>
      <w:r w:rsidDel="00000000" w:rsidR="00000000" w:rsidRPr="00000000">
        <w:rPr>
          <w:rtl w:val="0"/>
        </w:rPr>
      </w:r>
    </w:p>
    <w:p w:rsidR="00000000" w:rsidDel="00000000" w:rsidP="00000000" w:rsidRDefault="00000000" w:rsidRPr="00000000" w14:paraId="00000072">
      <w:pPr>
        <w:jc w:val="both"/>
        <w:rPr>
          <w:rFonts w:ascii="Roboto" w:cs="Roboto" w:eastAsia="Roboto" w:hAnsi="Roboto"/>
          <w:b w:val="1"/>
          <w:color w:val="1d1d1d"/>
          <w:sz w:val="28"/>
          <w:szCs w:val="28"/>
          <w:highlight w:val="white"/>
          <w:u w:val="single"/>
        </w:rPr>
      </w:pPr>
      <w:r w:rsidDel="00000000" w:rsidR="00000000" w:rsidRPr="00000000">
        <w:rPr>
          <w:rFonts w:ascii="Roboto" w:cs="Roboto" w:eastAsia="Roboto" w:hAnsi="Roboto"/>
          <w:b w:val="1"/>
          <w:color w:val="1d1d1d"/>
          <w:sz w:val="28"/>
          <w:szCs w:val="28"/>
          <w:highlight w:val="white"/>
          <w:u w:val="single"/>
          <w:rtl w:val="0"/>
        </w:rPr>
        <w:t xml:space="preserve">Recent Low-Carbon Announcements</w:t>
      </w:r>
    </w:p>
    <w:p w:rsidR="00000000" w:rsidDel="00000000" w:rsidP="00000000" w:rsidRDefault="00000000" w:rsidRPr="00000000" w14:paraId="00000073">
      <w:pPr>
        <w:jc w:val="both"/>
        <w:rPr>
          <w:rFonts w:ascii="Roboto" w:cs="Roboto" w:eastAsia="Roboto" w:hAnsi="Roboto"/>
          <w:color w:val="1d1d1d"/>
          <w:sz w:val="18"/>
          <w:szCs w:val="18"/>
          <w:highlight w:val="white"/>
        </w:rPr>
      </w:pPr>
      <w:r w:rsidDel="00000000" w:rsidR="00000000" w:rsidRPr="00000000">
        <w:rPr>
          <w:rtl w:val="0"/>
        </w:rPr>
      </w:r>
    </w:p>
    <w:p w:rsidR="00000000" w:rsidDel="00000000" w:rsidP="00000000" w:rsidRDefault="00000000" w:rsidRPr="00000000" w14:paraId="00000074">
      <w:pPr>
        <w:numPr>
          <w:ilvl w:val="0"/>
          <w:numId w:val="9"/>
        </w:numPr>
        <w:ind w:left="720" w:hanging="360"/>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In 2017, JPMorgan Chase made two sustainability commitments: facilitate $200 billion in clean financing by 2025 and source renewable energy for 100 percent of its global power needs by 2020. Both of these goals are expected to be reached by the end of 2020.</w:t>
      </w:r>
      <w:r w:rsidDel="00000000" w:rsidR="00000000" w:rsidRPr="00000000">
        <w:rPr>
          <w:rFonts w:ascii="Roboto" w:cs="Roboto" w:eastAsia="Roboto" w:hAnsi="Roboto"/>
          <w:color w:val="1d1d1d"/>
          <w:sz w:val="20"/>
          <w:szCs w:val="20"/>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75">
      <w:pPr>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76">
      <w:pPr>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In 2020 JPMorgan Chase (JPMC) announced the below commitments:</w:t>
      </w:r>
    </w:p>
    <w:p w:rsidR="00000000" w:rsidDel="00000000" w:rsidP="00000000" w:rsidRDefault="00000000" w:rsidRPr="00000000" w14:paraId="00000077">
      <w:pPr>
        <w:ind w:left="720" w:firstLine="0"/>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78">
      <w:pPr>
        <w:numPr>
          <w:ilvl w:val="0"/>
          <w:numId w:val="8"/>
        </w:numPr>
        <w:ind w:left="720" w:hanging="360"/>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Most recently, in October 2020, </w:t>
      </w:r>
      <w:hyperlink r:id="rId15">
        <w:r w:rsidDel="00000000" w:rsidR="00000000" w:rsidRPr="00000000">
          <w:rPr>
            <w:rFonts w:ascii="Roboto" w:cs="Roboto" w:eastAsia="Roboto" w:hAnsi="Roboto"/>
            <w:color w:val="1155cc"/>
            <w:sz w:val="20"/>
            <w:szCs w:val="20"/>
            <w:highlight w:val="white"/>
            <w:u w:val="single"/>
            <w:rtl w:val="0"/>
          </w:rPr>
          <w:t xml:space="preserve">JPMC announced</w:t>
        </w:r>
      </w:hyperlink>
      <w:r w:rsidDel="00000000" w:rsidR="00000000" w:rsidRPr="00000000">
        <w:rPr>
          <w:rFonts w:ascii="Roboto" w:cs="Roboto" w:eastAsia="Roboto" w:hAnsi="Roboto"/>
          <w:color w:val="1d1d1d"/>
          <w:sz w:val="20"/>
          <w:szCs w:val="20"/>
          <w:highlight w:val="white"/>
          <w:rtl w:val="0"/>
        </w:rPr>
        <w:t xml:space="preserve"> that it will meet its Paris Alignment goal by supporting clients in key sectors in the transition to a low-carbon economy. It will focus on oil and gas, electric power, and automotive manufacturing, setting 2030 targets for its financed emissions in these sectors. JPMC will publish further details informed by recommendations of the TCFD in the spring of 2021. The announcement did not give further detail on the ambition of these financed emissions targets, or the metrics that will be used. That said, it does state it will begin tracking its clients’ carbon intensity, which suggests that the bank may set 2030 targets in terms of its financed emissions intensity</w:t>
      </w:r>
      <w:r w:rsidDel="00000000" w:rsidR="00000000" w:rsidRPr="00000000">
        <w:rPr>
          <w:rFonts w:ascii="Roboto" w:cs="Roboto" w:eastAsia="Roboto" w:hAnsi="Roboto"/>
          <w:color w:val="1d1d1d"/>
          <w:sz w:val="20"/>
          <w:szCs w:val="20"/>
          <w:highlight w:val="white"/>
          <w:vertAlign w:val="superscript"/>
        </w:rPr>
        <w:footnoteReference w:customMarkFollows="0" w:id="4"/>
      </w:r>
      <w:r w:rsidDel="00000000" w:rsidR="00000000" w:rsidRPr="00000000">
        <w:rPr>
          <w:rFonts w:ascii="Roboto" w:cs="Roboto" w:eastAsia="Roboto" w:hAnsi="Roboto"/>
          <w:color w:val="1d1d1d"/>
          <w:sz w:val="20"/>
          <w:szCs w:val="20"/>
          <w:highlight w:val="white"/>
          <w:rtl w:val="0"/>
        </w:rPr>
        <w:t xml:space="preserve">. In this announcement JPMC notes that the world must achieve net-zero emissions by 2050 in order to meet the temperature goals of the Paris Agreement, but does not commit to zero out its own financed emissions by that time. In parallel with this decision, JPMC will launch a new Center for Carbon Transition to engage clients on decarbonization.</w:t>
      </w:r>
    </w:p>
    <w:p w:rsidR="00000000" w:rsidDel="00000000" w:rsidP="00000000" w:rsidRDefault="00000000" w:rsidRPr="00000000" w14:paraId="00000079">
      <w:pPr>
        <w:ind w:left="720" w:firstLine="0"/>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7A">
      <w:pPr>
        <w:numPr>
          <w:ilvl w:val="0"/>
          <w:numId w:val="8"/>
        </w:numPr>
        <w:ind w:left="720" w:hanging="360"/>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JPMC is assembling a new Energy Transition Team to provide strategic and financial advice to corporate clients on M&amp;A transactions that support their carbon optimization objectives. </w:t>
      </w:r>
    </w:p>
    <w:p w:rsidR="00000000" w:rsidDel="00000000" w:rsidP="00000000" w:rsidRDefault="00000000" w:rsidRPr="00000000" w14:paraId="0000007B">
      <w:pPr>
        <w:ind w:left="720" w:firstLine="0"/>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7C">
      <w:pPr>
        <w:numPr>
          <w:ilvl w:val="0"/>
          <w:numId w:val="8"/>
        </w:numPr>
        <w:ind w:left="720" w:hanging="360"/>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JPMC has joined the Climate Leadership Council, a group promoting a bipartisan roadmap for a revenue-neutral carbon tax-and-dividend framework for the United States.</w:t>
      </w:r>
    </w:p>
    <w:p w:rsidR="00000000" w:rsidDel="00000000" w:rsidP="00000000" w:rsidRDefault="00000000" w:rsidRPr="00000000" w14:paraId="0000007D">
      <w:pPr>
        <w:ind w:left="720" w:firstLine="0"/>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7E">
      <w:pPr>
        <w:numPr>
          <w:ilvl w:val="0"/>
          <w:numId w:val="8"/>
        </w:numPr>
        <w:ind w:left="720" w:hanging="360"/>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JPMC is working with Business Roundtable and other trade organizations on market-based policy solutions to address climate change, drive clean energy innovation and protect underserved communities</w:t>
      </w:r>
    </w:p>
    <w:p w:rsidR="00000000" w:rsidDel="00000000" w:rsidP="00000000" w:rsidRDefault="00000000" w:rsidRPr="00000000" w14:paraId="0000007F">
      <w:pPr>
        <w:jc w:val="both"/>
        <w:rPr>
          <w:rFonts w:ascii="Roboto" w:cs="Roboto" w:eastAsia="Roboto" w:hAnsi="Roboto"/>
          <w:color w:val="1d1d1d"/>
          <w:sz w:val="20"/>
          <w:szCs w:val="20"/>
          <w:highlight w:val="white"/>
        </w:rPr>
      </w:pPr>
      <w:r w:rsidDel="00000000" w:rsidR="00000000" w:rsidRPr="00000000">
        <w:rPr>
          <w:rtl w:val="0"/>
        </w:rPr>
      </w:r>
    </w:p>
    <w:p w:rsidR="00000000" w:rsidDel="00000000" w:rsidP="00000000" w:rsidRDefault="00000000" w:rsidRPr="00000000" w14:paraId="00000080">
      <w:pPr>
        <w:jc w:val="both"/>
        <w:rPr>
          <w:rFonts w:ascii="Roboto" w:cs="Roboto" w:eastAsia="Roboto" w:hAnsi="Roboto"/>
          <w:color w:val="1d1d1d"/>
          <w:sz w:val="20"/>
          <w:szCs w:val="20"/>
          <w:highlight w:val="white"/>
        </w:rPr>
      </w:pPr>
      <w:r w:rsidDel="00000000" w:rsidR="00000000" w:rsidRPr="00000000">
        <w:rPr>
          <w:rFonts w:ascii="Roboto" w:cs="Roboto" w:eastAsia="Roboto" w:hAnsi="Roboto"/>
          <w:color w:val="1d1d1d"/>
          <w:sz w:val="20"/>
          <w:szCs w:val="20"/>
          <w:highlight w:val="white"/>
          <w:rtl w:val="0"/>
        </w:rPr>
        <w:t xml:space="preserve">See more here i</w:t>
      </w:r>
      <w:r w:rsidDel="00000000" w:rsidR="00000000" w:rsidRPr="00000000">
        <w:rPr>
          <w:rFonts w:ascii="Roboto" w:cs="Roboto" w:eastAsia="Roboto" w:hAnsi="Roboto"/>
          <w:color w:val="1d1d1d"/>
          <w:sz w:val="20"/>
          <w:szCs w:val="20"/>
          <w:highlight w:val="white"/>
          <w:rtl w:val="0"/>
        </w:rPr>
        <w:t xml:space="preserve">n </w:t>
      </w:r>
      <w:hyperlink r:id="rId16">
        <w:r w:rsidDel="00000000" w:rsidR="00000000" w:rsidRPr="00000000">
          <w:rPr>
            <w:rFonts w:ascii="Roboto" w:cs="Roboto" w:eastAsia="Roboto" w:hAnsi="Roboto"/>
            <w:color w:val="1155cc"/>
            <w:sz w:val="20"/>
            <w:szCs w:val="20"/>
            <w:highlight w:val="white"/>
            <w:rtl w:val="0"/>
          </w:rPr>
          <w:t xml:space="preserve"> </w:t>
        </w:r>
      </w:hyperlink>
      <w:hyperlink r:id="rId17">
        <w:r w:rsidDel="00000000" w:rsidR="00000000" w:rsidRPr="00000000">
          <w:rPr>
            <w:rFonts w:ascii="Roboto" w:cs="Roboto" w:eastAsia="Roboto" w:hAnsi="Roboto"/>
            <w:color w:val="1155cc"/>
            <w:sz w:val="20"/>
            <w:szCs w:val="20"/>
            <w:highlight w:val="white"/>
            <w:u w:val="single"/>
            <w:rtl w:val="0"/>
          </w:rPr>
          <w:t xml:space="preserve">JPMorgan Chase’s 2020 Announcement on Sustainability</w:t>
        </w:r>
      </w:hyperlink>
      <w:r w:rsidDel="00000000" w:rsidR="00000000" w:rsidRPr="00000000">
        <w:rPr>
          <w:rFonts w:ascii="Roboto" w:cs="Roboto" w:eastAsia="Roboto" w:hAnsi="Roboto"/>
          <w:color w:val="1d1d1d"/>
          <w:sz w:val="20"/>
          <w:szCs w:val="20"/>
          <w:highlight w:val="white"/>
          <w:rtl w:val="0"/>
        </w:rPr>
        <w:t xml:space="preserve">.</w:t>
      </w:r>
    </w:p>
    <w:p w:rsidR="00000000" w:rsidDel="00000000" w:rsidP="00000000" w:rsidRDefault="00000000" w:rsidRPr="00000000" w14:paraId="00000081">
      <w:pPr>
        <w:shd w:fill="ffffff" w:val="clear"/>
        <w:jc w:val="both"/>
        <w:rPr>
          <w:rFonts w:ascii="Roboto" w:cs="Roboto" w:eastAsia="Roboto" w:hAnsi="Roboto"/>
          <w:color w:val="161516"/>
          <w:sz w:val="20"/>
          <w:szCs w:val="20"/>
          <w:highlight w:val="white"/>
        </w:rPr>
      </w:pPr>
      <w:r w:rsidDel="00000000" w:rsidR="00000000" w:rsidRPr="00000000">
        <w:rPr>
          <w:rtl w:val="0"/>
        </w:rPr>
      </w:r>
    </w:p>
    <w:p w:rsidR="00000000" w:rsidDel="00000000" w:rsidP="00000000" w:rsidRDefault="00000000" w:rsidRPr="00000000" w14:paraId="00000082">
      <w:pPr>
        <w:shd w:fill="ffffff" w:val="clear"/>
        <w:jc w:val="both"/>
        <w:rPr>
          <w:rFonts w:ascii="Trebuchet MS" w:cs="Trebuchet MS" w:eastAsia="Trebuchet MS" w:hAnsi="Trebuchet MS"/>
          <w:b w:val="1"/>
          <w:color w:val="1d1d1d"/>
          <w:sz w:val="18"/>
          <w:szCs w:val="18"/>
        </w:rPr>
      </w:pPr>
      <w:r w:rsidDel="00000000" w:rsidR="00000000" w:rsidRPr="00000000">
        <w:rPr>
          <w:rFonts w:ascii="Roboto" w:cs="Roboto" w:eastAsia="Roboto" w:hAnsi="Roboto"/>
          <w:color w:val="161516"/>
          <w:sz w:val="20"/>
          <w:szCs w:val="20"/>
          <w:highlight w:val="white"/>
          <w:rtl w:val="0"/>
        </w:rPr>
        <w:t xml:space="preserve">See more here in </w:t>
      </w:r>
      <w:hyperlink r:id="rId18">
        <w:r w:rsidDel="00000000" w:rsidR="00000000" w:rsidRPr="00000000">
          <w:rPr>
            <w:rFonts w:ascii="Roboto" w:cs="Roboto" w:eastAsia="Roboto" w:hAnsi="Roboto"/>
            <w:color w:val="1155cc"/>
            <w:sz w:val="20"/>
            <w:szCs w:val="20"/>
            <w:highlight w:val="white"/>
            <w:rtl w:val="0"/>
          </w:rPr>
          <w:t xml:space="preserve"> </w:t>
        </w:r>
      </w:hyperlink>
      <w:hyperlink r:id="rId19">
        <w:r w:rsidDel="00000000" w:rsidR="00000000" w:rsidRPr="00000000">
          <w:rPr>
            <w:rFonts w:ascii="Roboto" w:cs="Roboto" w:eastAsia="Roboto" w:hAnsi="Roboto"/>
            <w:color w:val="1155cc"/>
            <w:sz w:val="20"/>
            <w:szCs w:val="20"/>
            <w:highlight w:val="white"/>
            <w:u w:val="single"/>
            <w:rtl w:val="0"/>
          </w:rPr>
          <w:t xml:space="preserve">JPMorgan Chase's 2019 Climate Report</w:t>
        </w:r>
      </w:hyperlink>
      <w:r w:rsidDel="00000000" w:rsidR="00000000" w:rsidRPr="00000000">
        <w:rPr>
          <w:rFonts w:ascii="Roboto" w:cs="Roboto" w:eastAsia="Roboto" w:hAnsi="Roboto"/>
          <w:color w:val="161516"/>
          <w:sz w:val="20"/>
          <w:szCs w:val="20"/>
          <w:highlight w:val="white"/>
          <w:rtl w:val="0"/>
        </w:rPr>
        <w:t xml:space="preserve">.</w:t>
      </w:r>
      <w:r w:rsidDel="00000000" w:rsidR="00000000" w:rsidRPr="00000000">
        <w:rPr>
          <w:rtl w:val="0"/>
        </w:rPr>
      </w:r>
    </w:p>
    <w:p w:rsidR="00000000" w:rsidDel="00000000" w:rsidP="00000000" w:rsidRDefault="00000000" w:rsidRPr="00000000" w14:paraId="00000083">
      <w:pPr>
        <w:spacing w:line="240" w:lineRule="auto"/>
        <w:rPr>
          <w:rFonts w:ascii="Roboto Light" w:cs="Roboto Light" w:eastAsia="Roboto Light" w:hAnsi="Roboto Light"/>
          <w:color w:val="03123d"/>
          <w:sz w:val="18"/>
          <w:szCs w:val="18"/>
        </w:rPr>
      </w:pPr>
      <w:r w:rsidDel="00000000" w:rsidR="00000000" w:rsidRPr="00000000">
        <w:rPr>
          <w:rtl w:val="0"/>
        </w:rPr>
      </w:r>
    </w:p>
    <w:p w:rsidR="00000000" w:rsidDel="00000000" w:rsidP="00000000" w:rsidRDefault="00000000" w:rsidRPr="00000000" w14:paraId="00000084">
      <w:pPr>
        <w:spacing w:line="240" w:lineRule="auto"/>
        <w:rPr>
          <w:rFonts w:ascii="Roboto Light" w:cs="Roboto Light" w:eastAsia="Roboto Light" w:hAnsi="Roboto Light"/>
          <w:color w:val="03123d"/>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spacing w:line="240" w:lineRule="auto"/>
        <w:rPr>
          <w:rFonts w:ascii="Lato Black" w:cs="Lato Black" w:eastAsia="Lato Black" w:hAnsi="Lato Black"/>
          <w:color w:val="03123d"/>
        </w:rPr>
      </w:pPr>
      <w:r w:rsidDel="00000000" w:rsidR="00000000" w:rsidRPr="00000000">
        <w:rPr>
          <w:rtl w:val="0"/>
        </w:rPr>
      </w:r>
    </w:p>
    <w:p w:rsidR="00000000" w:rsidDel="00000000" w:rsidP="00000000" w:rsidRDefault="00000000" w:rsidRPr="00000000" w14:paraId="00000086">
      <w:pPr>
        <w:spacing w:line="240" w:lineRule="auto"/>
        <w:jc w:val="center"/>
        <w:rPr>
          <w:rFonts w:ascii="Roboto Light" w:cs="Roboto Light" w:eastAsia="Roboto Light" w:hAnsi="Roboto Light"/>
          <w:sz w:val="18"/>
          <w:szCs w:val="18"/>
        </w:rPr>
      </w:pPr>
      <w:r w:rsidDel="00000000" w:rsidR="00000000" w:rsidRPr="00000000">
        <w:rPr>
          <w:rFonts w:ascii="Lato Black" w:cs="Lato Black" w:eastAsia="Lato Black" w:hAnsi="Lato Black"/>
          <w:color w:val="03123d"/>
          <w:rtl w:val="0"/>
        </w:rPr>
        <w:t xml:space="preserve">Website |</w:t>
      </w:r>
      <w:r w:rsidDel="00000000" w:rsidR="00000000" w:rsidRPr="00000000">
        <w:rPr>
          <w:rFonts w:ascii="Lato Black" w:cs="Lato Black" w:eastAsia="Lato Black" w:hAnsi="Lato Black"/>
          <w:sz w:val="23"/>
          <w:szCs w:val="23"/>
          <w:rtl w:val="0"/>
        </w:rPr>
        <w:t xml:space="preserve"> </w:t>
      </w:r>
      <w:hyperlink r:id="rId20">
        <w:r w:rsidDel="00000000" w:rsidR="00000000" w:rsidRPr="00000000">
          <w:rPr>
            <w:rFonts w:ascii="Roboto Light" w:cs="Roboto Light" w:eastAsia="Roboto Light" w:hAnsi="Roboto Light"/>
            <w:color w:val="1155cc"/>
            <w:sz w:val="18"/>
            <w:szCs w:val="18"/>
            <w:u w:val="single"/>
            <w:rtl w:val="0"/>
          </w:rPr>
          <w:t xml:space="preserve">bank-fwd.org</w:t>
        </w:r>
      </w:hyperlink>
      <w:r w:rsidDel="00000000" w:rsidR="00000000" w:rsidRPr="00000000">
        <w:rPr>
          <w:rtl w:val="0"/>
        </w:rPr>
      </w:r>
    </w:p>
    <w:p w:rsidR="00000000" w:rsidDel="00000000" w:rsidP="00000000" w:rsidRDefault="00000000" w:rsidRPr="00000000" w14:paraId="00000087">
      <w:pPr>
        <w:spacing w:line="240" w:lineRule="auto"/>
        <w:jc w:val="center"/>
        <w:rPr>
          <w:rFonts w:ascii="Trebuchet MS" w:cs="Trebuchet MS" w:eastAsia="Trebuchet MS" w:hAnsi="Trebuchet MS"/>
          <w:b w:val="1"/>
          <w:color w:val="1d1d1d"/>
          <w:sz w:val="18"/>
          <w:szCs w:val="18"/>
        </w:rPr>
      </w:pPr>
      <w:r w:rsidDel="00000000" w:rsidR="00000000" w:rsidRPr="00000000">
        <w:rPr>
          <w:rFonts w:ascii="Lato Black" w:cs="Lato Black" w:eastAsia="Lato Black" w:hAnsi="Lato Black"/>
          <w:color w:val="03123d"/>
          <w:rtl w:val="0"/>
        </w:rPr>
        <w:t xml:space="preserve">Email |</w:t>
      </w:r>
      <w:r w:rsidDel="00000000" w:rsidR="00000000" w:rsidRPr="00000000">
        <w:rPr>
          <w:rFonts w:ascii="Roboto Light" w:cs="Roboto Light" w:eastAsia="Roboto Light" w:hAnsi="Roboto Light"/>
          <w:sz w:val="23"/>
          <w:szCs w:val="23"/>
          <w:rtl w:val="0"/>
        </w:rPr>
        <w:t xml:space="preserve"> </w:t>
      </w:r>
      <w:hyperlink r:id="rId21">
        <w:r w:rsidDel="00000000" w:rsidR="00000000" w:rsidRPr="00000000">
          <w:rPr>
            <w:rFonts w:ascii="Roboto Light" w:cs="Roboto Light" w:eastAsia="Roboto Light" w:hAnsi="Roboto Light"/>
            <w:color w:val="1155cc"/>
            <w:sz w:val="18"/>
            <w:szCs w:val="18"/>
            <w:u w:val="single"/>
            <w:rtl w:val="0"/>
          </w:rPr>
          <w:t xml:space="preserve">info@bank-fwd.org</w:t>
        </w:r>
      </w:hyperlink>
      <w:r w:rsidDel="00000000" w:rsidR="00000000" w:rsidRPr="00000000">
        <w:rPr>
          <w:rtl w:val="0"/>
        </w:rPr>
      </w:r>
    </w:p>
    <w:sectPr>
      <w:headerReference r:id="rId2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Robo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Dirty Dozen is a list of the top 12 private-sector banks that lead in financing the fossil fuel industry. More information can be found here: </w:t>
      </w:r>
      <w:hyperlink r:id="rId1">
        <w:r w:rsidDel="00000000" w:rsidR="00000000" w:rsidRPr="00000000">
          <w:rPr>
            <w:color w:val="1155cc"/>
            <w:sz w:val="20"/>
            <w:szCs w:val="20"/>
            <w:u w:val="single"/>
            <w:rtl w:val="0"/>
          </w:rPr>
          <w:t xml:space="preserve">https://www.ran.org/bankingonclimatechange2020/</w:t>
        </w:r>
      </w:hyperlink>
      <w:r w:rsidDel="00000000" w:rsidR="00000000" w:rsidRPr="00000000">
        <w:rPr>
          <w:rtl w:val="0"/>
        </w:rPr>
      </w:r>
    </w:p>
    <w:p w:rsidR="00000000" w:rsidDel="00000000" w:rsidP="00000000" w:rsidRDefault="00000000" w:rsidRPr="00000000" w14:paraId="00000089">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8A">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sz w:val="18"/>
          <w:szCs w:val="18"/>
          <w:rtl w:val="0"/>
        </w:rPr>
        <w:t xml:space="preserve"> JPMorgan Chase Tops Dirty List Of 35 Fossil Fuel-Funding Banks</w:t>
      </w:r>
      <w:r w:rsidDel="00000000" w:rsidR="00000000" w:rsidRPr="00000000">
        <w:rPr>
          <w:sz w:val="18"/>
          <w:szCs w:val="18"/>
          <w:rtl w:val="0"/>
        </w:rPr>
        <w:t xml:space="preserve">. Forbes 2020.</w:t>
      </w:r>
    </w:p>
    <w:p w:rsidR="00000000" w:rsidDel="00000000" w:rsidP="00000000" w:rsidRDefault="00000000" w:rsidRPr="00000000" w14:paraId="0000008B">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8C">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This is likely a conservative comparison due to differences in how each number is calculated. For instance, JPM has not published details on its methodology for tallying up the $200 billion in total sustainable finance, so to “facilitate” financing could over represent their actual contributions towards a renewable energy project. </w:t>
      </w:r>
    </w:p>
  </w:footnote>
  <w:footnote w:id="3">
    <w:p w:rsidR="00000000" w:rsidDel="00000000" w:rsidP="00000000" w:rsidRDefault="00000000" w:rsidRPr="00000000" w14:paraId="0000008D">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Read more about the announcement here: </w:t>
      </w:r>
      <w:hyperlink r:id="rId2">
        <w:r w:rsidDel="00000000" w:rsidR="00000000" w:rsidRPr="00000000">
          <w:rPr>
            <w:color w:val="1155cc"/>
            <w:sz w:val="18"/>
            <w:szCs w:val="18"/>
            <w:u w:val="single"/>
            <w:rtl w:val="0"/>
          </w:rPr>
          <w:t xml:space="preserve">https://www.jpmorganchase.com/corporate/news/pr/jpmorgan-chase-expands-commitment-to-low-carbon-economy-and-clean-energy.htm</w:t>
        </w:r>
      </w:hyperlink>
      <w:r w:rsidDel="00000000" w:rsidR="00000000" w:rsidRPr="00000000">
        <w:rPr>
          <w:rtl w:val="0"/>
        </w:rPr>
      </w:r>
    </w:p>
    <w:p w:rsidR="00000000" w:rsidDel="00000000" w:rsidP="00000000" w:rsidRDefault="00000000" w:rsidRPr="00000000" w14:paraId="0000008E">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See </w:t>
      </w:r>
      <w:hyperlink r:id="rId3">
        <w:r w:rsidDel="00000000" w:rsidR="00000000" w:rsidRPr="00000000">
          <w:rPr>
            <w:color w:val="1155cc"/>
            <w:sz w:val="16"/>
            <w:szCs w:val="16"/>
            <w:u w:val="single"/>
            <w:rtl w:val="0"/>
          </w:rPr>
          <w:t xml:space="preserve">https://www.ran.org/wp-content/uploads/2020/10/Briefer_-Response-to-JPMorgan-Chase%E2%80%99s-Paris-Alignment-Announcement.pdf</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jc w:val="right"/>
      <w:rPr/>
    </w:pPr>
    <w:r w:rsidDel="00000000" w:rsidR="00000000" w:rsidRPr="00000000">
      <w:rPr>
        <w:rtl w:val="0"/>
      </w:rPr>
      <w:t xml:space="preserve">Last Updated: 10/7/2020</w:t>
    </w:r>
  </w:p>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ank-fwd.org/" TargetMode="External"/><Relationship Id="rId11" Type="http://schemas.openxmlformats.org/officeDocument/2006/relationships/hyperlink" Target="https://www.ran.org/bankingonclimatechange2020/" TargetMode="External"/><Relationship Id="rId22" Type="http://schemas.openxmlformats.org/officeDocument/2006/relationships/header" Target="header1.xml"/><Relationship Id="rId10" Type="http://schemas.openxmlformats.org/officeDocument/2006/relationships/image" Target="media/image3.png"/><Relationship Id="rId21" Type="http://schemas.openxmlformats.org/officeDocument/2006/relationships/hyperlink" Target="mailto:info@bank-fwd.org" TargetMode="External"/><Relationship Id="rId13" Type="http://schemas.openxmlformats.org/officeDocument/2006/relationships/hyperlink" Target="https://www.cbc.ca/news/canada/north/jp-morgan-chase-arctic-drilling-oil-gas-1.5475104" TargetMode="External"/><Relationship Id="rId12" Type="http://schemas.openxmlformats.org/officeDocument/2006/relationships/hyperlink" Target="https://www.ran.org/press-releases/jpmorgan-chase-ran-policy-respon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yperlink" Target="https://www.wsj.com/articles/jpmorgan-pledges-to-push-clients-to-align-with-paris-climate-agreement-11602018245" TargetMode="External"/><Relationship Id="rId14" Type="http://schemas.openxmlformats.org/officeDocument/2006/relationships/hyperlink" Target="https://www.fsb-tcfd.org/tcfd-supporters/" TargetMode="External"/><Relationship Id="rId17" Type="http://schemas.openxmlformats.org/officeDocument/2006/relationships/hyperlink" Target="https://www.jpmorganchase.com/corporate/news/pr/jpmorgan-chase-expands-commitment-to-low-carbon-economy-and-clean-energy.htm" TargetMode="External"/><Relationship Id="rId16" Type="http://schemas.openxmlformats.org/officeDocument/2006/relationships/hyperlink" Target="https://www.jpmorganchase.com/corporate/news/pr/jpmorgan-chase-expands-commitment-to-low-carbon-economy-and-clean-energy.htm" TargetMode="External"/><Relationship Id="rId5" Type="http://schemas.openxmlformats.org/officeDocument/2006/relationships/numbering" Target="numbering.xml"/><Relationship Id="rId19" Type="http://schemas.openxmlformats.org/officeDocument/2006/relationships/hyperlink" Target="https://institute.jpmorganchase.com/content/dam/jpmc/jpmorgan-chase-and-co/documents/jpmc-cr-climate-report-2019.pdf" TargetMode="External"/><Relationship Id="rId6" Type="http://schemas.openxmlformats.org/officeDocument/2006/relationships/styles" Target="styles.xml"/><Relationship Id="rId18" Type="http://schemas.openxmlformats.org/officeDocument/2006/relationships/hyperlink" Target="https://institute.jpmorganchase.com/content/dam/jpmc/jpmorgan-chase-and-co/documents/jpmc-cr-climate-report-2019.pdf" TargetMode="Externa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RobotoLight-boldItalic.ttf"/><Relationship Id="rId9" Type="http://schemas.openxmlformats.org/officeDocument/2006/relationships/font" Target="fonts/RobotoLight-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RobotoLight-regular.ttf"/><Relationship Id="rId8" Type="http://schemas.openxmlformats.org/officeDocument/2006/relationships/font" Target="fonts/RobotoLight-bold.ttf"/></Relationships>
</file>

<file path=word/_rels/footnotes.xml.rels><?xml version="1.0" encoding="UTF-8" standalone="yes"?><Relationships xmlns="http://schemas.openxmlformats.org/package/2006/relationships"><Relationship Id="rId1" Type="http://schemas.openxmlformats.org/officeDocument/2006/relationships/hyperlink" Target="https://www.ran.org/bankingonclimatechange2020/" TargetMode="External"/><Relationship Id="rId2" Type="http://schemas.openxmlformats.org/officeDocument/2006/relationships/hyperlink" Target="https://www.jpmorganchase.com/corporate/news/pr/jpmorgan-chase-expands-commitment-to-low-carbon-economy-and-clean-energy.htm" TargetMode="External"/><Relationship Id="rId3" Type="http://schemas.openxmlformats.org/officeDocument/2006/relationships/hyperlink" Target="https://www.ran.org/wp-content/uploads/2020/10/Briefer_-Response-to-JPMorgan-Chase%E2%80%99s-Paris-Alignment-Announc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O3yIgbj8BSILDQssZ+0Q00/LYA==">AMUW2mWSKZeAEOH+uHT7Jf5/jQMKwMsd4kTKrRcuXqTud8awSWTK2qiAANa6tA6isRaOHDsaPOrVdShAuxNmdeJgXrEnigI/2EvOC2dpn9YzT76qf9dBbArg6L9QalPXGzqnja+1UjyrNjNxOSgM6H3vtGdTFCi7SRwEx4UozU2/xWLcjpeRDL9tdehbS9fy0oDIcpqyQmKhXiMxBz/MSty3sHSJUgLBtpcOE88unjZaNa7dKwwmHBhDmB56+Yh714lKRH3Pye8eesCaA4s7UYhsJHZFtRBHBMwvAVtlcyh5WTy8ekqGL3D+N+xJpvFB+qdvEF/JqiGgxQsTJkadYkoEUwYnJc/279TTwW2dutTpLtcW3tcx59p958D2MmPeqGHjOPNqXYqEWEFSbUXSvfbxFT64VbF7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