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357688" cy="747232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7688" cy="7472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" w:firstLine="0"/>
        <w:jc w:val="left"/>
        <w:rPr>
          <w:rFonts w:ascii="Calibri" w:cs="Calibri" w:eastAsia="Calibri" w:hAnsi="Calibri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color w:val="262626"/>
          <w:sz w:val="24"/>
          <w:szCs w:val="24"/>
        </w:rPr>
      </w:pPr>
      <w:r w:rsidDel="00000000" w:rsidR="00000000" w:rsidRPr="00000000">
        <w:rPr>
          <w:rFonts w:ascii="Lato Black" w:cs="Lato Black" w:eastAsia="Lato Black" w:hAnsi="Lato Black"/>
          <w:color w:val="03123d"/>
          <w:sz w:val="36"/>
          <w:szCs w:val="36"/>
          <w:rtl w:val="0"/>
        </w:rPr>
        <w:t xml:space="preserve">Morgan Stanley </w:t>
      </w:r>
      <w:r w:rsidDel="00000000" w:rsidR="00000000" w:rsidRPr="00000000">
        <w:rPr>
          <w:rFonts w:ascii="Lato Black" w:cs="Lato Black" w:eastAsia="Lato Black" w:hAnsi="Lato Black"/>
          <w:color w:val="03123d"/>
          <w:sz w:val="36"/>
          <w:szCs w:val="36"/>
          <w:rtl w:val="0"/>
        </w:rPr>
        <w:t xml:space="preserve">Fact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0" w:firstLine="0"/>
        <w:rPr>
          <w:rFonts w:ascii="Roboto" w:cs="Roboto" w:eastAsia="Roboto" w:hAnsi="Roboto"/>
          <w:color w:val="262626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0" w:firstLine="0"/>
        <w:rPr>
          <w:rFonts w:ascii="Roboto" w:cs="Roboto" w:eastAsia="Roboto" w:hAnsi="Roboto"/>
          <w:color w:val="262626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firstLine="0"/>
        <w:rPr>
          <w:rFonts w:ascii="Roboto" w:cs="Roboto" w:eastAsia="Roboto" w:hAnsi="Roboto"/>
          <w:b w:val="1"/>
          <w:color w:val="262626"/>
          <w:sz w:val="28"/>
          <w:szCs w:val="2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8"/>
          <w:szCs w:val="28"/>
          <w:u w:val="single"/>
          <w:rtl w:val="0"/>
        </w:rPr>
        <w:t xml:space="preserve">Quick Facts &amp; Talking Points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firstLine="0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i w:val="1"/>
          <w:color w:val="262626"/>
        </w:rPr>
      </w:pPr>
      <w:r w:rsidDel="00000000" w:rsidR="00000000" w:rsidRPr="00000000">
        <w:rPr>
          <w:rFonts w:ascii="Roboto" w:cs="Roboto" w:eastAsia="Roboto" w:hAnsi="Roboto"/>
          <w:i w:val="1"/>
          <w:color w:val="262626"/>
          <w:rtl w:val="0"/>
        </w:rPr>
        <w:t xml:space="preserve">Ranks #11 on the Dirty Dozen list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1440" w:firstLine="0"/>
        <w:rPr>
          <w:rFonts w:ascii="Roboto" w:cs="Roboto" w:eastAsia="Roboto" w:hAnsi="Roboto"/>
          <w:color w:val="262626"/>
        </w:rPr>
      </w:pPr>
      <w:r w:rsidDel="00000000" w:rsidR="00000000" w:rsidRPr="00000000">
        <w:rPr>
          <w:rFonts w:ascii="Roboto" w:cs="Roboto" w:eastAsia="Roboto" w:hAnsi="Roboto"/>
          <w:color w:val="262626"/>
          <w:rtl w:val="0"/>
        </w:rPr>
        <w:t xml:space="preserve">Morgan Stanley’s fossil fuel financing amounts to only 34% of the amount supplied by the largest fossil fuel-funding bank, JPMorgan Chase.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0" w:firstLine="0"/>
        <w:rPr>
          <w:rFonts w:ascii="Roboto" w:cs="Roboto" w:eastAsia="Roboto" w:hAnsi="Roboto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i w:val="1"/>
          <w:color w:val="262626"/>
        </w:rPr>
      </w:pPr>
      <w:r w:rsidDel="00000000" w:rsidR="00000000" w:rsidRPr="00000000">
        <w:rPr>
          <w:rFonts w:ascii="Roboto" w:cs="Roboto" w:eastAsia="Roboto" w:hAnsi="Roboto"/>
          <w:i w:val="1"/>
          <w:color w:val="262626"/>
          <w:rtl w:val="0"/>
        </w:rPr>
        <w:t xml:space="preserve">Total Assets 2019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440" w:firstLine="0"/>
        <w:rPr>
          <w:rFonts w:ascii="Roboto" w:cs="Roboto" w:eastAsia="Roboto" w:hAnsi="Roboto"/>
          <w:color w:val="262626"/>
        </w:rPr>
      </w:pPr>
      <w:r w:rsidDel="00000000" w:rsidR="00000000" w:rsidRPr="00000000">
        <w:rPr>
          <w:rFonts w:ascii="Roboto" w:cs="Roboto" w:eastAsia="Roboto" w:hAnsi="Roboto"/>
          <w:color w:val="262626"/>
          <w:rtl w:val="0"/>
        </w:rPr>
        <w:t xml:space="preserve">$895 B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440" w:firstLine="0"/>
        <w:rPr>
          <w:rFonts w:ascii="Roboto" w:cs="Roboto" w:eastAsia="Roboto" w:hAnsi="Roboto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i w:val="1"/>
          <w:color w:val="262626"/>
        </w:rPr>
      </w:pPr>
      <w:r w:rsidDel="00000000" w:rsidR="00000000" w:rsidRPr="00000000">
        <w:rPr>
          <w:rFonts w:ascii="Roboto" w:cs="Roboto" w:eastAsia="Roboto" w:hAnsi="Roboto"/>
          <w:i w:val="1"/>
          <w:color w:val="262626"/>
          <w:rtl w:val="0"/>
        </w:rPr>
        <w:t xml:space="preserve">Total Fossil Fuel Financing in 2019</w:t>
      </w:r>
      <w:r w:rsidDel="00000000" w:rsidR="00000000" w:rsidRPr="00000000">
        <w:rPr>
          <w:rFonts w:ascii="Roboto" w:cs="Roboto" w:eastAsia="Roboto" w:hAnsi="Roboto"/>
          <w:i w:val="1"/>
          <w:color w:val="262626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1440" w:firstLine="0"/>
        <w:rPr>
          <w:rFonts w:ascii="Roboto" w:cs="Roboto" w:eastAsia="Roboto" w:hAnsi="Roboto"/>
          <w:color w:val="262626"/>
        </w:rPr>
      </w:pPr>
      <w:r w:rsidDel="00000000" w:rsidR="00000000" w:rsidRPr="00000000">
        <w:rPr>
          <w:rFonts w:ascii="Roboto" w:cs="Roboto" w:eastAsia="Roboto" w:hAnsi="Roboto"/>
          <w:color w:val="262626"/>
          <w:rtl w:val="0"/>
        </w:rPr>
        <w:t xml:space="preserve">$22.8 B 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1440" w:firstLine="0"/>
        <w:rPr>
          <w:rFonts w:ascii="Roboto" w:cs="Roboto" w:eastAsia="Roboto" w:hAnsi="Roboto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i w:val="1"/>
          <w:color w:val="262626"/>
        </w:rPr>
      </w:pPr>
      <w:r w:rsidDel="00000000" w:rsidR="00000000" w:rsidRPr="00000000">
        <w:rPr>
          <w:rFonts w:ascii="Roboto" w:cs="Roboto" w:eastAsia="Roboto" w:hAnsi="Roboto"/>
          <w:i w:val="1"/>
          <w:color w:val="262626"/>
          <w:rtl w:val="0"/>
        </w:rPr>
        <w:t xml:space="preserve">Total Fossil Fuel Financing between 2016-2019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1440" w:firstLine="0"/>
        <w:rPr>
          <w:rFonts w:ascii="Roboto" w:cs="Roboto" w:eastAsia="Roboto" w:hAnsi="Roboto"/>
          <w:color w:val="262626"/>
        </w:rPr>
      </w:pPr>
      <w:r w:rsidDel="00000000" w:rsidR="00000000" w:rsidRPr="00000000">
        <w:rPr>
          <w:rFonts w:ascii="Roboto" w:cs="Roboto" w:eastAsia="Roboto" w:hAnsi="Roboto"/>
          <w:color w:val="262626"/>
          <w:rtl w:val="0"/>
        </w:rPr>
        <w:t xml:space="preserve">$92 B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20" w:firstLine="0"/>
        <w:rPr>
          <w:rFonts w:ascii="Roboto" w:cs="Roboto" w:eastAsia="Roboto" w:hAnsi="Roboto"/>
          <w:i w:val="1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0" w:firstLine="0"/>
        <w:rPr>
          <w:rFonts w:ascii="Roboto" w:cs="Roboto" w:eastAsia="Roboto" w:hAnsi="Roboto"/>
          <w:b w:val="1"/>
          <w:i w:val="1"/>
          <w:color w:val="262626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262626"/>
          <w:rtl w:val="0"/>
        </w:rPr>
        <w:t xml:space="preserve">Between 2016-2019, Morgan Stanley financed:</w:t>
      </w:r>
    </w:p>
    <w:tbl>
      <w:tblPr>
        <w:tblStyle w:val="Table1"/>
        <w:tblW w:w="7515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40"/>
        <w:gridCol w:w="2760"/>
        <w:gridCol w:w="2715"/>
        <w:tblGridChange w:id="0">
          <w:tblGrid>
            <w:gridCol w:w="2040"/>
            <w:gridCol w:w="2760"/>
            <w:gridCol w:w="2715"/>
          </w:tblGrid>
        </w:tblGridChange>
      </w:tblGrid>
      <w:tr>
        <w:trPr>
          <w:trHeight w:val="5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262626"/>
                <w:sz w:val="20"/>
                <w:szCs w:val="20"/>
                <w:rtl w:val="0"/>
              </w:rPr>
              <w:t xml:space="preserve">Financing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262626"/>
                <w:sz w:val="20"/>
                <w:szCs w:val="20"/>
                <w:rtl w:val="0"/>
              </w:rPr>
              <w:t xml:space="preserve">Fossil Fuel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262626"/>
                <w:sz w:val="20"/>
                <w:szCs w:val="20"/>
                <w:rtl w:val="0"/>
              </w:rPr>
              <w:t xml:space="preserve">Rank out of Top 35 Fossil Fuel Financiers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$33.5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Fossil Fuel  Expansion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12th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$637 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Tar Sands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17th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$540 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Arctic oil &amp; gas drilling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21st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$10.4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Offshore oil &amp; gas drilling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6th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$9.3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Fracked oil &amp; gas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13th</w:t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$6.6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Liquefied Natural Gas (LNG)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1st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$785 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Coal Mining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10th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$2.5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Coal Power Stations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262626"/>
                <w:sz w:val="20"/>
                <w:szCs w:val="20"/>
                <w:rtl w:val="0"/>
              </w:rPr>
              <w:t xml:space="preserve">18th</w:t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240" w:lineRule="auto"/>
        <w:ind w:left="0" w:firstLine="0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Roboto" w:cs="Roboto" w:eastAsia="Roboto" w:hAnsi="Roboto"/>
          <w:i w:val="1"/>
          <w:color w:val="262626"/>
        </w:rPr>
      </w:pPr>
      <w:r w:rsidDel="00000000" w:rsidR="00000000" w:rsidRPr="00000000">
        <w:rPr>
          <w:rFonts w:ascii="Roboto" w:cs="Roboto" w:eastAsia="Roboto" w:hAnsi="Roboto"/>
          <w:i w:val="1"/>
          <w:color w:val="262626"/>
          <w:rtl w:val="0"/>
        </w:rPr>
        <w:t xml:space="preserve">Total Annualized Sustainable Finance Commitments</w:t>
      </w:r>
      <w:r w:rsidDel="00000000" w:rsidR="00000000" w:rsidRPr="00000000">
        <w:rPr>
          <w:rFonts w:ascii="Roboto" w:cs="Roboto" w:eastAsia="Roboto" w:hAnsi="Roboto"/>
          <w:i w:val="1"/>
          <w:color w:val="262626"/>
          <w:vertAlign w:val="superscript"/>
        </w:rPr>
        <w:footnoteReference w:customMarkFollows="0" w:id="1"/>
      </w:r>
      <w:r w:rsidDel="00000000" w:rsidR="00000000" w:rsidRPr="00000000">
        <w:rPr>
          <w:rFonts w:ascii="Roboto" w:cs="Roboto" w:eastAsia="Roboto" w:hAnsi="Roboto"/>
          <w:i w:val="1"/>
          <w:color w:val="262626"/>
          <w:rtl w:val="0"/>
        </w:rPr>
        <w:t xml:space="preserve"> 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1440" w:firstLine="0"/>
        <w:rPr>
          <w:rFonts w:ascii="Roboto" w:cs="Roboto" w:eastAsia="Roboto" w:hAnsi="Roboto"/>
          <w:color w:val="262626"/>
        </w:rPr>
      </w:pPr>
      <w:r w:rsidDel="00000000" w:rsidR="00000000" w:rsidRPr="00000000">
        <w:rPr>
          <w:rFonts w:ascii="Roboto" w:cs="Roboto" w:eastAsia="Roboto" w:hAnsi="Roboto"/>
          <w:color w:val="262626"/>
          <w:rtl w:val="0"/>
        </w:rPr>
        <w:t xml:space="preserve">$19.2 B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62626"/>
          <w:sz w:val="24"/>
          <w:szCs w:val="24"/>
        </w:rPr>
        <w:drawing>
          <wp:inline distB="114300" distT="114300" distL="114300" distR="114300">
            <wp:extent cx="6205538" cy="4233063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05538" cy="4233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Roboto" w:cs="Roboto" w:eastAsia="Roboto" w:hAnsi="Roboto"/>
          <w:b w:val="1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Roboto" w:cs="Roboto" w:eastAsia="Roboto" w:hAnsi="Roboto"/>
          <w:color w:val="1d1d1d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62626"/>
          <w:sz w:val="24"/>
          <w:szCs w:val="24"/>
        </w:rPr>
        <w:drawing>
          <wp:inline distB="114300" distT="114300" distL="114300" distR="114300">
            <wp:extent cx="6229350" cy="3314700"/>
            <wp:effectExtent b="0" l="0" r="0" t="0"/>
            <wp:docPr descr="Chart" id="4" name="image1.png"/>
            <a:graphic>
              <a:graphicData uri="http://schemas.openxmlformats.org/drawingml/2006/picture">
                <pic:pic>
                  <pic:nvPicPr>
                    <pic:cNvPr descr="Chart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31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Roboto" w:cs="Roboto" w:eastAsia="Roboto" w:hAnsi="Roboto"/>
          <w:color w:val="1d1d1d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d1d1d"/>
          <w:sz w:val="20"/>
          <w:szCs w:val="20"/>
          <w:highlight w:val="white"/>
          <w:rtl w:val="0"/>
        </w:rPr>
        <w:t xml:space="preserve">Rainforest Action Network (RAN) designates policy scores based on a point system that assesses bank policies on ending financing for fossil fuel expansion and phasing out overall fossil fuel financing. </w:t>
      </w:r>
      <w:r w:rsidDel="00000000" w:rsidR="00000000" w:rsidRPr="00000000">
        <w:rPr>
          <w:rFonts w:ascii="Roboto" w:cs="Roboto" w:eastAsia="Roboto" w:hAnsi="Roboto"/>
          <w:color w:val="1d1d1d"/>
          <w:sz w:val="20"/>
          <w:szCs w:val="20"/>
          <w:highlight w:val="white"/>
          <w:rtl w:val="0"/>
        </w:rPr>
        <w:t xml:space="preserve">Morgan Stanley received only 21 out of 200 possible point</w:t>
      </w:r>
      <w:r w:rsidDel="00000000" w:rsidR="00000000" w:rsidRPr="00000000">
        <w:rPr>
          <w:rFonts w:ascii="Roboto" w:cs="Roboto" w:eastAsia="Roboto" w:hAnsi="Roboto"/>
          <w:color w:val="1d1d1d"/>
          <w:sz w:val="20"/>
          <w:szCs w:val="20"/>
          <w:highlight w:val="white"/>
          <w:rtl w:val="0"/>
        </w:rPr>
        <w:t xml:space="preserve">s, demonstrating a very low score. For more detail into the scoring criteria, including for each fossil fuel subsector, visit the </w:t>
      </w:r>
      <w:hyperlink r:id="rId11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highlight w:val="white"/>
            <w:u w:val="single"/>
            <w:rtl w:val="0"/>
          </w:rPr>
          <w:t xml:space="preserve">Banking on Climate Change 2020 report</w:t>
        </w:r>
      </w:hyperlink>
      <w:r w:rsidDel="00000000" w:rsidR="00000000" w:rsidRPr="00000000">
        <w:rPr>
          <w:rFonts w:ascii="Roboto" w:cs="Roboto" w:eastAsia="Roboto" w:hAnsi="Roboto"/>
          <w:color w:val="1d1d1d"/>
          <w:sz w:val="20"/>
          <w:szCs w:val="20"/>
          <w:highlight w:val="white"/>
          <w:rtl w:val="0"/>
        </w:rPr>
        <w:t xml:space="preserve"> appendix and RAN’s latest </w:t>
      </w:r>
      <w:hyperlink r:id="rId12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highlight w:val="white"/>
            <w:u w:val="single"/>
            <w:rtl w:val="0"/>
          </w:rPr>
          <w:t xml:space="preserve">press release</w:t>
        </w:r>
      </w:hyperlink>
      <w:r w:rsidDel="00000000" w:rsidR="00000000" w:rsidRPr="00000000">
        <w:rPr>
          <w:rFonts w:ascii="Roboto" w:cs="Roboto" w:eastAsia="Roboto" w:hAnsi="Roboto"/>
          <w:color w:val="1d1d1d"/>
          <w:sz w:val="20"/>
          <w:szCs w:val="20"/>
          <w:highlight w:val="white"/>
          <w:rtl w:val="0"/>
        </w:rPr>
        <w:t xml:space="preserve">. See below a fossil fuel policy score comparison of the major private US banks as of April 2020. 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Roboto" w:cs="Roboto" w:eastAsia="Roboto" w:hAnsi="Roboto"/>
          <w:color w:val="1d1d1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Roboto" w:cs="Roboto" w:eastAsia="Roboto" w:hAnsi="Roboto"/>
          <w:color w:val="1d1d1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155"/>
        <w:tblGridChange w:id="0">
          <w:tblGrid>
            <w:gridCol w:w="4680"/>
            <w:gridCol w:w="41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1d1d1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d1d1d"/>
                <w:sz w:val="20"/>
                <w:szCs w:val="20"/>
                <w:highlight w:val="white"/>
                <w:rtl w:val="0"/>
              </w:rPr>
              <w:t xml:space="preserve">Bank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1d1d1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d1d1d"/>
                <w:sz w:val="20"/>
                <w:szCs w:val="20"/>
                <w:highlight w:val="white"/>
                <w:rtl w:val="0"/>
              </w:rPr>
              <w:t xml:space="preserve">Total Fossil Fuel Policy Score (Out of 200)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  <w:rtl w:val="0"/>
              </w:rPr>
              <w:t xml:space="preserve">Citi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  <w:rtl w:val="0"/>
              </w:rPr>
              <w:t xml:space="preserve">22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  <w:rtl w:val="0"/>
              </w:rPr>
              <w:t xml:space="preserve">JPMorgan Chase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  <w:rtl w:val="0"/>
              </w:rPr>
              <w:t xml:space="preserve">19.5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  <w:rtl w:val="0"/>
              </w:rPr>
              <w:t xml:space="preserve">Wells Fargo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  <w:rtl w:val="0"/>
              </w:rPr>
              <w:t xml:space="preserve">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  <w:rtl w:val="0"/>
              </w:rPr>
              <w:t xml:space="preserve">Bank of America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  <w:rtl w:val="0"/>
              </w:rPr>
              <w:t xml:space="preserve">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  <w:rtl w:val="0"/>
              </w:rPr>
              <w:t xml:space="preserve">Morgan Stanley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  <w:rtl w:val="0"/>
              </w:rPr>
              <w:t xml:space="preserve">21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  <w:rtl w:val="0"/>
              </w:rPr>
              <w:t xml:space="preserve">Goldman Sachs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d1d1d"/>
                <w:sz w:val="20"/>
                <w:szCs w:val="20"/>
                <w:highlight w:val="white"/>
                <w:rtl w:val="0"/>
              </w:rPr>
              <w:t xml:space="preserve">21.5 </w:t>
            </w:r>
          </w:p>
        </w:tc>
      </w:tr>
    </w:tbl>
    <w:p w:rsidR="00000000" w:rsidDel="00000000" w:rsidP="00000000" w:rsidRDefault="00000000" w:rsidRPr="00000000" w14:paraId="00000049">
      <w:pPr>
        <w:spacing w:line="240" w:lineRule="auto"/>
        <w:rPr>
          <w:rFonts w:ascii="Roboto" w:cs="Roboto" w:eastAsia="Roboto" w:hAnsi="Roboto"/>
          <w:color w:val="1d1d1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Roboto" w:cs="Roboto" w:eastAsia="Roboto" w:hAnsi="Roboto"/>
          <w:b w:val="1"/>
          <w:color w:val="1d1d1d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d1d1d"/>
          <w:sz w:val="28"/>
          <w:szCs w:val="28"/>
          <w:highlight w:val="white"/>
          <w:u w:val="single"/>
          <w:rtl w:val="0"/>
        </w:rPr>
        <w:t xml:space="preserve">Fossil Fuel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  <w:color w:val="1d1d1d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d1d1d"/>
          <w:highlight w:val="white"/>
          <w:rtl w:val="0"/>
        </w:rPr>
        <w:t xml:space="preserve">Morgan Stanley </w:t>
      </w:r>
      <w:hyperlink r:id="rId13">
        <w:r w:rsidDel="00000000" w:rsidR="00000000" w:rsidRPr="00000000">
          <w:rPr>
            <w:rFonts w:ascii="Roboto" w:cs="Roboto" w:eastAsia="Roboto" w:hAnsi="Roboto"/>
            <w:color w:val="1155cc"/>
            <w:highlight w:val="white"/>
            <w:u w:val="single"/>
            <w:rtl w:val="0"/>
          </w:rPr>
          <w:t xml:space="preserve">updated its </w:t>
        </w:r>
      </w:hyperlink>
      <w:hyperlink r:id="rId14">
        <w:r w:rsidDel="00000000" w:rsidR="00000000" w:rsidRPr="00000000">
          <w:rPr>
            <w:rFonts w:ascii="Roboto" w:cs="Roboto" w:eastAsia="Roboto" w:hAnsi="Roboto"/>
            <w:color w:val="1155cc"/>
            <w:highlight w:val="white"/>
            <w:u w:val="single"/>
            <w:rtl w:val="0"/>
          </w:rPr>
          <w:t xml:space="preserve">energy policy</w:t>
        </w:r>
      </w:hyperlink>
      <w:r w:rsidDel="00000000" w:rsidR="00000000" w:rsidRPr="00000000">
        <w:rPr>
          <w:rFonts w:ascii="Roboto" w:cs="Roboto" w:eastAsia="Roboto" w:hAnsi="Roboto"/>
          <w:color w:val="1d1d1d"/>
          <w:highlight w:val="white"/>
          <w:rtl w:val="0"/>
        </w:rPr>
        <w:t xml:space="preserve"> in March, 2020</w:t>
      </w:r>
      <w:r w:rsidDel="00000000" w:rsidR="00000000" w:rsidRPr="00000000">
        <w:rPr>
          <w:rFonts w:ascii="Roboto" w:cs="Roboto" w:eastAsia="Roboto" w:hAnsi="Roboto"/>
          <w:color w:val="1d1d1d"/>
          <w:highlight w:val="white"/>
          <w:rtl w:val="0"/>
        </w:rPr>
        <w:t xml:space="preserve">. As of this update: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Roboto" w:cs="Roboto" w:eastAsia="Roboto" w:hAnsi="Roboto"/>
          <w:color w:val="1d1d1d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Roboto" w:cs="Roboto" w:eastAsia="Roboto" w:hAnsi="Roboto"/>
          <w:color w:val="1d1d1d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d1d1d"/>
          <w:highlight w:val="white"/>
          <w:u w:val="single"/>
          <w:rtl w:val="0"/>
        </w:rPr>
        <w:t xml:space="preserve">Oil</w:t>
      </w:r>
    </w:p>
    <w:p w:rsidR="00000000" w:rsidDel="00000000" w:rsidP="00000000" w:rsidRDefault="00000000" w:rsidRPr="00000000" w14:paraId="0000004F">
      <w:pPr>
        <w:rPr>
          <w:rFonts w:ascii="Roboto" w:cs="Roboto" w:eastAsia="Roboto" w:hAnsi="Roboto"/>
          <w:color w:val="1d1d1d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d1d1d"/>
          <w:highlight w:val="white"/>
          <w:rtl w:val="0"/>
        </w:rPr>
        <w:t xml:space="preserve">Morgan Stanley still finances deepwater drilling, tar sands, and fracking, for a total of $6.4 billion in 2019 according to the </w:t>
      </w:r>
      <w:hyperlink r:id="rId15">
        <w:r w:rsidDel="00000000" w:rsidR="00000000" w:rsidRPr="00000000">
          <w:rPr>
            <w:rFonts w:ascii="Roboto" w:cs="Roboto" w:eastAsia="Roboto" w:hAnsi="Roboto"/>
            <w:color w:val="1155cc"/>
            <w:highlight w:val="white"/>
            <w:u w:val="single"/>
            <w:rtl w:val="0"/>
          </w:rPr>
          <w:t xml:space="preserve">Banking on Climate Change report</w:t>
        </w:r>
      </w:hyperlink>
      <w:r w:rsidDel="00000000" w:rsidR="00000000" w:rsidRPr="00000000">
        <w:rPr>
          <w:rFonts w:ascii="Roboto" w:cs="Roboto" w:eastAsia="Roboto" w:hAnsi="Roboto"/>
          <w:color w:val="1d1d1d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50">
      <w:pPr>
        <w:rPr>
          <w:rFonts w:ascii="Roboto" w:cs="Roboto" w:eastAsia="Roboto" w:hAnsi="Roboto"/>
          <w:color w:val="1d1d1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Roboto" w:cs="Roboto" w:eastAsia="Roboto" w:hAnsi="Roboto"/>
          <w:color w:val="1d1d1d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color w:val="1d1d1d"/>
          <w:highlight w:val="white"/>
          <w:u w:val="single"/>
          <w:rtl w:val="0"/>
        </w:rPr>
        <w:t xml:space="preserve">Coal</w:t>
      </w:r>
    </w:p>
    <w:p w:rsidR="00000000" w:rsidDel="00000000" w:rsidP="00000000" w:rsidRDefault="00000000" w:rsidRPr="00000000" w14:paraId="00000052">
      <w:pPr>
        <w:rPr>
          <w:rFonts w:ascii="Roboto" w:cs="Roboto" w:eastAsia="Roboto" w:hAnsi="Roboto"/>
          <w:color w:val="1d1d1d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d1d1d"/>
          <w:highlight w:val="white"/>
          <w:rtl w:val="0"/>
        </w:rPr>
        <w:t xml:space="preserve">The policy update also rules out direct financing of new thermal coal mines and coal-fired power plants, as well as a commitment to phase out financing of thermal coal companies. </w:t>
      </w:r>
    </w:p>
    <w:p w:rsidR="00000000" w:rsidDel="00000000" w:rsidP="00000000" w:rsidRDefault="00000000" w:rsidRPr="00000000" w14:paraId="00000053">
      <w:pPr>
        <w:rPr>
          <w:rFonts w:ascii="Roboto" w:cs="Roboto" w:eastAsia="Roboto" w:hAnsi="Roboto"/>
          <w:color w:val="1d1d1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Roboto" w:cs="Roboto" w:eastAsia="Roboto" w:hAnsi="Roboto"/>
          <w:color w:val="262626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color w:val="1d1d1d"/>
          <w:highlight w:val="white"/>
          <w:u w:val="single"/>
          <w:rtl w:val="0"/>
        </w:rPr>
        <w:t xml:space="preserve">Arctic Region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d1d1d"/>
          <w:highlight w:val="white"/>
          <w:rtl w:val="0"/>
        </w:rPr>
        <w:t xml:space="preserve">Morgan Stanley has committed to not financing oil &amp; gas exploration in the Arctic, including Alaska’s Arctic National Wildlife Refuge.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rFonts w:ascii="Roboto" w:cs="Roboto" w:eastAsia="Roboto" w:hAnsi="Roboto"/>
          <w:color w:val="26262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rFonts w:ascii="Roboto" w:cs="Roboto" w:eastAsia="Roboto" w:hAnsi="Roboto"/>
          <w:color w:val="26262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rFonts w:ascii="Roboto" w:cs="Roboto" w:eastAsia="Roboto" w:hAnsi="Roboto"/>
          <w:b w:val="1"/>
          <w:color w:val="262626"/>
          <w:sz w:val="28"/>
          <w:szCs w:val="2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8"/>
          <w:szCs w:val="28"/>
          <w:u w:val="single"/>
          <w:rtl w:val="0"/>
        </w:rPr>
        <w:t xml:space="preserve">Measure - Disclose - Reduce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rFonts w:ascii="Roboto" w:cs="Roboto" w:eastAsia="Roboto" w:hAnsi="Roboto"/>
          <w:color w:val="26262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>
          <w:rFonts w:ascii="Roboto" w:cs="Roboto" w:eastAsia="Roboto" w:hAnsi="Roboto"/>
          <w:color w:val="262626"/>
        </w:rPr>
      </w:pPr>
      <w:r w:rsidDel="00000000" w:rsidR="00000000" w:rsidRPr="00000000">
        <w:rPr>
          <w:rFonts w:ascii="Roboto" w:cs="Roboto" w:eastAsia="Roboto" w:hAnsi="Roboto"/>
          <w:color w:val="262626"/>
          <w:rtl w:val="0"/>
        </w:rPr>
        <w:t xml:space="preserve">In July 2020 Morgan Stanley </w:t>
      </w:r>
      <w:hyperlink r:id="rId1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committed to the PCAF Standards</w:t>
        </w:r>
      </w:hyperlink>
      <w:r w:rsidDel="00000000" w:rsidR="00000000" w:rsidRPr="00000000">
        <w:rPr>
          <w:rFonts w:ascii="Roboto" w:cs="Roboto" w:eastAsia="Roboto" w:hAnsi="Roboto"/>
          <w:color w:val="262626"/>
          <w:rtl w:val="0"/>
        </w:rPr>
        <w:t xml:space="preserve">, agreeing to disclose the greenhouse gas emissions associated with their portfolio of loans and investments. This decision made them the first major U.S. bank to do so. 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rFonts w:ascii="Roboto" w:cs="Roboto" w:eastAsia="Roboto" w:hAnsi="Roboto"/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>
          <w:rFonts w:ascii="Roboto" w:cs="Roboto" w:eastAsia="Roboto" w:hAnsi="Roboto"/>
          <w:color w:val="262626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color w:val="262626"/>
          <w:rtl w:val="0"/>
        </w:rPr>
        <w:t xml:space="preserve">In June 2017 Morgan Stanley signed on to the </w:t>
      </w:r>
      <w:hyperlink r:id="rId1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Task Force on Climate Related Financial Disclosures</w:t>
        </w:r>
      </w:hyperlink>
      <w:r w:rsidDel="00000000" w:rsidR="00000000" w:rsidRPr="00000000">
        <w:rPr>
          <w:rFonts w:ascii="Roboto" w:cs="Roboto" w:eastAsia="Roboto" w:hAnsi="Roboto"/>
          <w:color w:val="262626"/>
          <w:rtl w:val="0"/>
        </w:rPr>
        <w:t xml:space="preserve">, a set of consistent and coherent principles for voluntary climate-related financial risk disclosures that provide information to investors, lenders, insurers, and other stakeholders.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>
          <w:rFonts w:ascii="Roboto" w:cs="Roboto" w:eastAsia="Roboto" w:hAnsi="Roboto"/>
          <w:color w:val="262626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>
          <w:rFonts w:ascii="Roboto" w:cs="Roboto" w:eastAsia="Roboto" w:hAnsi="Roboto"/>
          <w:b w:val="1"/>
          <w:color w:val="262626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rFonts w:ascii="Roboto" w:cs="Roboto" w:eastAsia="Roboto" w:hAnsi="Roboto"/>
          <w:b w:val="1"/>
          <w:color w:val="262626"/>
          <w:sz w:val="28"/>
          <w:szCs w:val="2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8"/>
          <w:szCs w:val="28"/>
          <w:u w:val="single"/>
          <w:rtl w:val="0"/>
        </w:rPr>
        <w:t xml:space="preserve">Most Recent Low-Carbon Commitments 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262626"/>
          <w:sz w:val="24"/>
          <w:szCs w:val="24"/>
          <w:rtl w:val="0"/>
        </w:rPr>
        <w:t xml:space="preserve">As of 2018</w:t>
      </w:r>
      <w:r w:rsidDel="00000000" w:rsidR="00000000" w:rsidRPr="00000000">
        <w:rPr>
          <w:rFonts w:ascii="Roboto" w:cs="Roboto" w:eastAsia="Roboto" w:hAnsi="Roboto"/>
          <w:b w:val="1"/>
          <w:color w:val="262626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Roboto" w:cs="Roboto" w:eastAsia="Roboto" w:hAnsi="Roboto"/>
          <w:color w:val="262626"/>
          <w:sz w:val="24"/>
          <w:szCs w:val="24"/>
          <w:rtl w:val="0"/>
        </w:rPr>
        <w:t xml:space="preserve"> Morgan Stanley committed to providing $250 billion in low-carbon financing between 2018 - 2030 and to become carbon neutral by 2022, with an aim to source 100 percent of global operational energy needs from renewable energy and to offset any remaining emissions. 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262626"/>
          <w:sz w:val="24"/>
          <w:szCs w:val="24"/>
          <w:rtl w:val="0"/>
        </w:rPr>
        <w:t xml:space="preserve">As of 2019</w:t>
      </w:r>
      <w:r w:rsidDel="00000000" w:rsidR="00000000" w:rsidRPr="00000000">
        <w:rPr>
          <w:rFonts w:ascii="Roboto" w:cs="Roboto" w:eastAsia="Roboto" w:hAnsi="Roboto"/>
          <w:color w:val="262626"/>
          <w:sz w:val="24"/>
          <w:szCs w:val="24"/>
          <w:rtl w:val="0"/>
        </w:rPr>
        <w:t xml:space="preserve">, Morgan Stanley has reached $80 billion of its $250 billion low-carbon financing goal. </w:t>
      </w:r>
    </w:p>
    <w:p w:rsidR="00000000" w:rsidDel="00000000" w:rsidP="00000000" w:rsidRDefault="00000000" w:rsidRPr="00000000" w14:paraId="00000064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62626"/>
          <w:sz w:val="24"/>
          <w:szCs w:val="24"/>
          <w:rtl w:val="0"/>
        </w:rPr>
        <w:t xml:space="preserve">Contributing to this commitment are the Firm’s activities in clean-tech and renewable energy financing, sustainable bonds, and other transactions that enable low-carbon solutions. 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262626"/>
          <w:sz w:val="24"/>
          <w:szCs w:val="24"/>
          <w:rtl w:val="0"/>
        </w:rPr>
        <w:t xml:space="preserve">“This announcement reflects Morgan Stanley’s continued commitment to enabling private sector capital to find attractive opportunities in the growing market for low-carbon solutions,” said Audrey Choi, Morgan Stanley’s Chief Sustainability Officer and Chief Marketing Officer.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262626"/>
          <w:sz w:val="24"/>
          <w:szCs w:val="24"/>
          <w:rtl w:val="0"/>
        </w:rPr>
        <w:t xml:space="preserve">As of September 2020</w:t>
      </w:r>
      <w:r w:rsidDel="00000000" w:rsidR="00000000" w:rsidRPr="00000000">
        <w:rPr>
          <w:rFonts w:ascii="Roboto" w:cs="Roboto" w:eastAsia="Roboto" w:hAnsi="Roboto"/>
          <w:color w:val="262626"/>
          <w:sz w:val="24"/>
          <w:szCs w:val="24"/>
          <w:rtl w:val="0"/>
        </w:rPr>
        <w:t xml:space="preserve">, Morgan Stanley </w:t>
      </w:r>
      <w:hyperlink r:id="rId18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announced a new commitment</w:t>
        </w:r>
      </w:hyperlink>
      <w:r w:rsidDel="00000000" w:rsidR="00000000" w:rsidRPr="00000000">
        <w:rPr>
          <w:rFonts w:ascii="Roboto" w:cs="Roboto" w:eastAsia="Roboto" w:hAnsi="Roboto"/>
          <w:color w:val="262626"/>
          <w:sz w:val="24"/>
          <w:szCs w:val="24"/>
          <w:rtl w:val="0"/>
        </w:rPr>
        <w:t xml:space="preserve"> to reach net-zero financed emissions by 2050, though the announcement did not include details on the bank’s plan to get there. 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>
          <w:rFonts w:ascii="Roboto" w:cs="Roboto" w:eastAsia="Roboto" w:hAnsi="Roboto"/>
          <w:color w:val="1d1c1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62626"/>
          <w:sz w:val="24"/>
          <w:szCs w:val="24"/>
          <w:rtl w:val="0"/>
        </w:rPr>
        <w:t xml:space="preserve">See more here</w:t>
      </w:r>
      <w:r w:rsidDel="00000000" w:rsidR="00000000" w:rsidRPr="00000000">
        <w:rPr>
          <w:rFonts w:ascii="Roboto" w:cs="Roboto" w:eastAsia="Roboto" w:hAnsi="Roboto"/>
          <w:color w:val="262626"/>
          <w:sz w:val="24"/>
          <w:szCs w:val="24"/>
          <w:rtl w:val="0"/>
        </w:rPr>
        <w:t xml:space="preserve"> in </w:t>
      </w:r>
      <w:hyperlink r:id="rId19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u w:val="single"/>
            <w:rtl w:val="0"/>
          </w:rPr>
          <w:t xml:space="preserve">Morgan Stanley’s 2019 Sustainability Report</w:t>
        </w:r>
      </w:hyperlink>
      <w:r w:rsidDel="00000000" w:rsidR="00000000" w:rsidRPr="00000000">
        <w:rPr>
          <w:rFonts w:ascii="Roboto" w:cs="Roboto" w:eastAsia="Roboto" w:hAnsi="Roboto"/>
          <w:color w:val="262626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rPr>
          <w:rFonts w:ascii="Roboto" w:cs="Roboto" w:eastAsia="Roboto" w:hAnsi="Roboto"/>
          <w:color w:val="1d1c1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>
          <w:rFonts w:ascii="Roboto" w:cs="Roboto" w:eastAsia="Roboto" w:hAnsi="Roboto"/>
          <w:color w:val="1d1c1d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1d1c1d"/>
          <w:sz w:val="24"/>
          <w:szCs w:val="24"/>
          <w:highlight w:val="white"/>
          <w:rtl w:val="0"/>
        </w:rPr>
        <w:t xml:space="preserve">See more here</w:t>
      </w:r>
      <w:r w:rsidDel="00000000" w:rsidR="00000000" w:rsidRPr="00000000">
        <w:rPr>
          <w:rFonts w:ascii="Roboto" w:cs="Roboto" w:eastAsia="Roboto" w:hAnsi="Roboto"/>
          <w:color w:val="1d1c1d"/>
          <w:sz w:val="24"/>
          <w:szCs w:val="24"/>
          <w:highlight w:val="white"/>
          <w:rtl w:val="0"/>
        </w:rPr>
        <w:t xml:space="preserve"> in </w:t>
      </w:r>
      <w:hyperlink r:id="rId20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highlight w:val="white"/>
            <w:u w:val="single"/>
            <w:rtl w:val="0"/>
          </w:rPr>
          <w:t xml:space="preserve">Morgan Stanley’s Environmental and Social Policy Statement</w:t>
        </w:r>
      </w:hyperlink>
      <w:r w:rsidDel="00000000" w:rsidR="00000000" w:rsidRPr="00000000">
        <w:rPr>
          <w:rFonts w:ascii="Roboto" w:cs="Roboto" w:eastAsia="Roboto" w:hAnsi="Roboto"/>
          <w:color w:val="1d1c1d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Roboto" w:cs="Roboto" w:eastAsia="Roboto" w:hAnsi="Roboto"/>
          <w:color w:val="26262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rPr>
          <w:rFonts w:ascii="Roboto Light" w:cs="Roboto Light" w:eastAsia="Roboto Light" w:hAnsi="Roboto Light"/>
          <w:color w:val="03123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Roboto Light" w:cs="Roboto Light" w:eastAsia="Roboto Light" w:hAnsi="Roboto Light"/>
          <w:color w:val="03123d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rPr>
          <w:rFonts w:ascii="Lato Black" w:cs="Lato Black" w:eastAsia="Lato Black" w:hAnsi="Lato Black"/>
          <w:color w:val="03123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jc w:val="center"/>
        <w:rPr>
          <w:rFonts w:ascii="Roboto Light" w:cs="Roboto Light" w:eastAsia="Roboto Light" w:hAnsi="Roboto Light"/>
          <w:sz w:val="18"/>
          <w:szCs w:val="18"/>
        </w:rPr>
      </w:pPr>
      <w:r w:rsidDel="00000000" w:rsidR="00000000" w:rsidRPr="00000000">
        <w:rPr>
          <w:rFonts w:ascii="Lato Black" w:cs="Lato Black" w:eastAsia="Lato Black" w:hAnsi="Lato Black"/>
          <w:color w:val="03123d"/>
          <w:rtl w:val="0"/>
        </w:rPr>
        <w:t xml:space="preserve">Website |</w:t>
      </w:r>
      <w:r w:rsidDel="00000000" w:rsidR="00000000" w:rsidRPr="00000000">
        <w:rPr>
          <w:rFonts w:ascii="Lato Black" w:cs="Lato Black" w:eastAsia="Lato Black" w:hAnsi="Lato Black"/>
          <w:sz w:val="23"/>
          <w:szCs w:val="23"/>
          <w:rtl w:val="0"/>
        </w:rPr>
        <w:t xml:space="preserve"> </w:t>
      </w:r>
      <w:hyperlink r:id="rId21">
        <w:r w:rsidDel="00000000" w:rsidR="00000000" w:rsidRPr="00000000">
          <w:rPr>
            <w:rFonts w:ascii="Roboto Light" w:cs="Roboto Light" w:eastAsia="Roboto Light" w:hAnsi="Roboto Light"/>
            <w:color w:val="1155cc"/>
            <w:sz w:val="18"/>
            <w:szCs w:val="18"/>
            <w:u w:val="single"/>
            <w:rtl w:val="0"/>
          </w:rPr>
          <w:t xml:space="preserve">bank-fwd.org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jc w:val="center"/>
        <w:rPr>
          <w:rFonts w:ascii="Calibri" w:cs="Calibri" w:eastAsia="Calibri" w:hAnsi="Calibri"/>
          <w:color w:val="262626"/>
          <w:sz w:val="24"/>
          <w:szCs w:val="24"/>
        </w:rPr>
      </w:pPr>
      <w:r w:rsidDel="00000000" w:rsidR="00000000" w:rsidRPr="00000000">
        <w:rPr>
          <w:rFonts w:ascii="Lato Black" w:cs="Lato Black" w:eastAsia="Lato Black" w:hAnsi="Lato Black"/>
          <w:color w:val="03123d"/>
          <w:rtl w:val="0"/>
        </w:rPr>
        <w:t xml:space="preserve">Email |</w:t>
      </w:r>
      <w:r w:rsidDel="00000000" w:rsidR="00000000" w:rsidRPr="00000000">
        <w:rPr>
          <w:rFonts w:ascii="Roboto Light" w:cs="Roboto Light" w:eastAsia="Roboto Light" w:hAnsi="Roboto Light"/>
          <w:sz w:val="23"/>
          <w:szCs w:val="23"/>
          <w:rtl w:val="0"/>
        </w:rPr>
        <w:t xml:space="preserve"> </w:t>
      </w:r>
      <w:hyperlink r:id="rId22">
        <w:r w:rsidDel="00000000" w:rsidR="00000000" w:rsidRPr="00000000">
          <w:rPr>
            <w:rFonts w:ascii="Roboto Light" w:cs="Roboto Light" w:eastAsia="Roboto Light" w:hAnsi="Roboto Light"/>
            <w:color w:val="1155cc"/>
            <w:sz w:val="18"/>
            <w:szCs w:val="18"/>
            <w:u w:val="single"/>
            <w:rtl w:val="0"/>
          </w:rPr>
          <w:t xml:space="preserve">info@bank-fwd.org</w:t>
        </w:r>
      </w:hyperlink>
      <w:r w:rsidDel="00000000" w:rsidR="00000000" w:rsidRPr="00000000">
        <w:rPr>
          <w:rtl w:val="0"/>
        </w:rPr>
      </w:r>
    </w:p>
    <w:sectPr>
      <w:headerReference r:id="rId23" w:type="default"/>
      <w:pgSz w:h="15840" w:w="12240"/>
      <w:pgMar w:bottom="1080" w:top="1170" w:left="144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Black">
    <w:embedBold w:fontKey="{00000000-0000-0000-0000-000000000000}" r:id="rId5" w:subsetted="0"/>
    <w:embedBoldItalic w:fontKey="{00000000-0000-0000-0000-000000000000}" r:id="rId6" w:subsetted="0"/>
  </w:font>
  <w:font w:name="Roboto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6">
      <w:pPr>
        <w:spacing w:line="240" w:lineRule="auto"/>
        <w:rPr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6"/>
          <w:szCs w:val="16"/>
          <w:rtl w:val="0"/>
        </w:rPr>
        <w:t xml:space="preserve"> Rainforest Action Network, </w:t>
      </w:r>
      <w:r w:rsidDel="00000000" w:rsidR="00000000" w:rsidRPr="00000000">
        <w:rPr>
          <w:i w:val="1"/>
          <w:sz w:val="16"/>
          <w:szCs w:val="16"/>
          <w:rtl w:val="0"/>
        </w:rPr>
        <w:t xml:space="preserve">Banking on Climate Change- Fossil Fuel Finance Report 2020</w:t>
      </w:r>
      <w:r w:rsidDel="00000000" w:rsidR="00000000" w:rsidRPr="00000000">
        <w:rPr>
          <w:sz w:val="16"/>
          <w:szCs w:val="16"/>
          <w:rtl w:val="0"/>
        </w:rPr>
        <w:t xml:space="preserve">. </w:t>
      </w:r>
    </w:p>
  </w:footnote>
  <w:footnote w:id="1">
    <w:p w:rsidR="00000000" w:rsidDel="00000000" w:rsidP="00000000" w:rsidRDefault="00000000" w:rsidRPr="00000000" w14:paraId="00000087">
      <w:pPr>
        <w:spacing w:line="240" w:lineRule="auto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 World Resources Institute, GREEN TARGETS: A Tool To Compare Private Sector Banks’ Sustainable Finance Commitments, July 2019.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Last Updated: 09/21/2020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morganstanley.com/about-us-governance/pdf/Environmental_Policy.pdf" TargetMode="External"/><Relationship Id="rId11" Type="http://schemas.openxmlformats.org/officeDocument/2006/relationships/hyperlink" Target="https://www.ran.org/bankingonclimatechange2020/" TargetMode="External"/><Relationship Id="rId22" Type="http://schemas.openxmlformats.org/officeDocument/2006/relationships/hyperlink" Target="mailto:info@bank-fwd.org" TargetMode="External"/><Relationship Id="rId10" Type="http://schemas.openxmlformats.org/officeDocument/2006/relationships/image" Target="media/image1.png"/><Relationship Id="rId21" Type="http://schemas.openxmlformats.org/officeDocument/2006/relationships/hyperlink" Target="https://www.bank-fwd.org/" TargetMode="External"/><Relationship Id="rId13" Type="http://schemas.openxmlformats.org/officeDocument/2006/relationships/hyperlink" Target="https://www.morganstanley.com/about-us-governance/pdf/Environmental_Policy.pdf" TargetMode="External"/><Relationship Id="rId12" Type="http://schemas.openxmlformats.org/officeDocument/2006/relationships/hyperlink" Target="https://www.ran.org/press-releases/morgan-stanley-ends-arctic-oil-financing/" TargetMode="Externa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5" Type="http://schemas.openxmlformats.org/officeDocument/2006/relationships/hyperlink" Target="https://www.ran.org/bankingonclimatechange2020/" TargetMode="External"/><Relationship Id="rId14" Type="http://schemas.openxmlformats.org/officeDocument/2006/relationships/hyperlink" Target="https://www.morganstanley.com/about-us-governance/pdf/Environmental_Policy.pdf" TargetMode="External"/><Relationship Id="rId17" Type="http://schemas.openxmlformats.org/officeDocument/2006/relationships/hyperlink" Target="https://www.fsb-tcfd.org/tcfd-supporters/" TargetMode="External"/><Relationship Id="rId16" Type="http://schemas.openxmlformats.org/officeDocument/2006/relationships/hyperlink" Target="https://www.politico.com/news/2020/07/20/morgan-stanley-climate-impact-371696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www.morganstanley.com/pub/content/dam/msdotcom/sustainability/Morgan-Stanley_2019-Sustainability-Report_Final.pdf" TargetMode="External"/><Relationship Id="rId6" Type="http://schemas.openxmlformats.org/officeDocument/2006/relationships/styles" Target="styles.xml"/><Relationship Id="rId18" Type="http://schemas.openxmlformats.org/officeDocument/2006/relationships/hyperlink" Target="https://www.morganstanley.com/press-releases/morgan-stanley-announces-commitment-to-reach-net-zero-financed-e" TargetMode="Externa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RobotoLight-boldItalic.ttf"/><Relationship Id="rId9" Type="http://schemas.openxmlformats.org/officeDocument/2006/relationships/font" Target="fonts/RobotoLight-italic.ttf"/><Relationship Id="rId5" Type="http://schemas.openxmlformats.org/officeDocument/2006/relationships/font" Target="fonts/LatoBlack-bold.ttf"/><Relationship Id="rId6" Type="http://schemas.openxmlformats.org/officeDocument/2006/relationships/font" Target="fonts/LatoBlack-boldItalic.ttf"/><Relationship Id="rId7" Type="http://schemas.openxmlformats.org/officeDocument/2006/relationships/font" Target="fonts/RobotoLight-regular.ttf"/><Relationship Id="rId8" Type="http://schemas.openxmlformats.org/officeDocument/2006/relationships/font" Target="fonts/RobotoLigh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82lO/HxoErW+zgRdNSVcdNRYZg==">AMUW2mX//5b5aulCWnUAUqBkWgmdvspavvB8l2zVbXelqg4fCULa7YFH5ak0ADUIJwD3upcN/HzcvflEuZtuBfbIL5R+uvFGopyM7Z1Wy1cOQqsSet4ZAX98LN9b+HSxUtnGOg/heYxieto6Am21mrB2wv4s9e4KiQR2pZjviJXV3XiVVnyE4Dk7Cm5O7VIZd2Lgh+Ct5GqkiOAg+CgYxWcRXKR3L0LvVER66QCcfrE9jnHAddfLTUFIda07I+Mhpl7vQIm+DJh1+DsiYH5fWiFmFiBb1IMJViJkbGZvgIFXyWypL6L8A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